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otential-energy-diagrams-answer-key"/>
    <w:p>
      <w:pPr>
        <w:pStyle w:val="Heading1"/>
      </w:pPr>
      <w:r>
        <w:t xml:space="preserve">Potential Energy Diagrams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Kinetics and Equilibrium — Lesson 03: Potential Energy Diagrams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DC1.B; PS3-1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t xml:space="preserve">All three items use the labeled exothermic diagram: reactants</w:t>
      </w:r>
      <w:r>
        <w:t xml:space="preserve"> </w:t>
      </w:r>
      <w:r>
        <w:rPr>
          <w:b/>
          <w:bCs/>
        </w:rPr>
        <w:t xml:space="preserve">30 kJ</w:t>
      </w:r>
      <w:r>
        <w:t xml:space="preserve">, activated complex (peak)</w:t>
      </w:r>
      <w:r>
        <w:t xml:space="preserve"> </w:t>
      </w:r>
      <w:r>
        <w:rPr>
          <w:b/>
          <w:bCs/>
        </w:rPr>
        <w:t xml:space="preserve">85 kJ</w:t>
      </w:r>
      <w:r>
        <w:t xml:space="preserve">, products</w:t>
      </w:r>
      <w:r>
        <w:t xml:space="preserve"> </w:t>
      </w:r>
      <w:r>
        <w:rPr>
          <w:b/>
          <w:bCs/>
        </w:rPr>
        <w:t xml:space="preserve">10 kJ</w:t>
      </w:r>
      <w:r>
        <w:t xml:space="preserve">; the catalyzed path has a peak of</w:t>
      </w:r>
      <w:r>
        <w:t xml:space="preserve"> </w:t>
      </w:r>
      <w:r>
        <w:rPr>
          <w:b/>
          <w:bCs/>
        </w:rPr>
        <w:t xml:space="preserve">60 kJ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 Activation energy of the uncatalyzed reaction:</w:t>
      </w:r>
    </w:p>
    <w:p>
      <w:pPr>
        <w:pStyle w:val="BodyText"/>
      </w:pPr>
      <w:r>
        <w:t xml:space="preserve">Ea = peak − reactants = 85 − 30 =</w:t>
      </w:r>
      <w:r>
        <w:t xml:space="preserve"> </w:t>
      </w:r>
      <w:r>
        <w:rPr>
          <w:b/>
          <w:bCs/>
        </w:rPr>
        <w:t xml:space="preserve">55 kJ</w:t>
      </w:r>
      <w:r>
        <w:t xml:space="preserve">.</w:t>
      </w:r>
    </w:p>
    <w:p>
      <w:pPr>
        <w:pStyle w:val="BodyText"/>
      </w:pPr>
      <w:r>
        <w:t xml:space="preserve">Step-by-step: the activation energy is the height of the barrier measured from the</w:t>
      </w:r>
      <w:r>
        <w:t xml:space="preserve"> </w:t>
      </w:r>
      <w:r>
        <w:rPr>
          <w:i/>
          <w:iCs/>
        </w:rPr>
        <w:t xml:space="preserve">reactant</w:t>
      </w:r>
      <w:r>
        <w:t xml:space="preserve"> </w:t>
      </w:r>
      <w:r>
        <w:t xml:space="preserve">level (30 kJ) up to the peak (85 kJ), so Ea = 55 kJ.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value (55 kJ); 1 point for showing the subtraction</w:t>
      </w:r>
      <w:r>
        <w:t xml:space="preserve"> </w:t>
      </w:r>
      <w:r>
        <w:rPr>
          <w:i/>
          <w:iCs/>
        </w:rPr>
        <w:t xml:space="preserve">from the reactant level</w:t>
      </w:r>
      <w:r>
        <w:t xml:space="preserve"> </w:t>
      </w:r>
      <w:r>
        <w:t xml:space="preserve">(peak − reactants), not from zero. A student who answers</w:t>
      </w:r>
      <w:r>
        <w:t xml:space="preserve"> </w:t>
      </w:r>
      <w:r>
        <w:t xml:space="preserve">“85 kJ”</w:t>
      </w:r>
      <w:r>
        <w:t xml:space="preserve"> </w:t>
      </w:r>
      <w:r>
        <w:t xml:space="preserve">read Ea as the peak height above the axis — provide feedback: Ea starts at the reactants, not at the bottom of the graph. NYSSLS: DC1.B.</w:t>
      </w:r>
    </w:p>
    <w:p>
      <w:pPr>
        <w:pStyle w:val="BodyText"/>
      </w:pPr>
      <w:r>
        <w:rPr>
          <w:b/>
          <w:bCs/>
        </w:rPr>
        <w:t xml:space="preserve">2. ΔH and classification:</w:t>
      </w:r>
    </w:p>
    <w:p>
      <w:pPr>
        <w:pStyle w:val="BodyText"/>
      </w:pPr>
      <w:r>
        <w:t xml:space="preserve">ΔH = products − reactants = 10 − 30 =</w:t>
      </w:r>
      <w:r>
        <w:t xml:space="preserve"> </w:t>
      </w:r>
      <w:r>
        <w:rPr>
          <w:b/>
          <w:bCs/>
        </w:rPr>
        <w:t xml:space="preserve">−20 kJ</w:t>
      </w:r>
      <w:r>
        <w:t xml:space="preserve">. The reaction is</w:t>
      </w:r>
      <w:r>
        <w:t xml:space="preserve"> </w:t>
      </w:r>
      <w:r>
        <w:rPr>
          <w:b/>
          <w:bCs/>
        </w:rPr>
        <w:t xml:space="preserve">exothermic</w:t>
      </w:r>
      <w:r>
        <w:t xml:space="preserve"> </w:t>
      </w:r>
      <w:r>
        <w:t xml:space="preserve">because the products (10 kJ) are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than the reactants (30 kJ) — the system released 20 kJ.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ΔH = −20 kJ (accept</w:t>
      </w:r>
      <w:r>
        <w:t xml:space="preserve"> </w:t>
      </w:r>
      <w:r>
        <w:t xml:space="preserve">“−20 kJ”</w:t>
      </w:r>
      <w:r>
        <w:t xml:space="preserve"> </w:t>
      </w:r>
      <w:r>
        <w:t xml:space="preserve">or</w:t>
      </w:r>
      <w:r>
        <w:t xml:space="preserve"> </w:t>
      </w:r>
      <w:r>
        <w:t xml:space="preserve">“20 kJ released”</w:t>
      </w:r>
      <w:r>
        <w:t xml:space="preserve">); 1 point for</w:t>
      </w:r>
      <w:r>
        <w:t xml:space="preserve"> </w:t>
      </w:r>
      <w:r>
        <w:t xml:space="preserve">“exothermic”</w:t>
      </w:r>
      <w:r>
        <w:t xml:space="preserve"> </w:t>
      </w:r>
      <w:r>
        <w:t xml:space="preserve">with the reason that products are lower than reactants. A sign error (</w:t>
      </w:r>
      <w:r>
        <w:t xml:space="preserve">“+20”</w:t>
      </w:r>
      <w:r>
        <w:t xml:space="preserve">) with correct reasoning earns partial credit; remind the student that ΔH = products − reactants, so a lower product level gives a negative value. NYSSLS: DC1.B.</w:t>
      </w:r>
    </w:p>
    <w:p>
      <w:pPr>
        <w:pStyle w:val="BodyText"/>
      </w:pPr>
      <w:r>
        <w:rPr>
          <w:b/>
          <w:bCs/>
        </w:rPr>
        <w:t xml:space="preserve">3. Catalyzed activation energy and the effect on ΔH:</w:t>
      </w:r>
    </w:p>
    <w:p>
      <w:pPr>
        <w:pStyle w:val="BodyText"/>
      </w:pPr>
      <w:r>
        <w:t xml:space="preserve">Catalyzed Ea = peak − reactants = 60 − 30 =</w:t>
      </w:r>
      <w:r>
        <w:t xml:space="preserve"> </w:t>
      </w:r>
      <w:r>
        <w:rPr>
          <w:b/>
          <w:bCs/>
        </w:rPr>
        <w:t xml:space="preserve">30 kJ</w:t>
      </w:r>
      <w:r>
        <w:t xml:space="preserve">.</w:t>
      </w:r>
      <w:r>
        <w:t xml:space="preserve"> </w:t>
      </w:r>
      <w:r>
        <w:t xml:space="preserve">The catalyst lowered Ea by 55 − 30 =</w:t>
      </w:r>
      <w:r>
        <w:t xml:space="preserve"> </w:t>
      </w:r>
      <w:r>
        <w:rPr>
          <w:b/>
          <w:bCs/>
        </w:rPr>
        <w:t xml:space="preserve">25 kJ</w:t>
      </w:r>
      <w:r>
        <w:t xml:space="preserve">.</w:t>
      </w:r>
      <w:r>
        <w:t xml:space="preserve"> </w:t>
      </w:r>
      <w:r>
        <w:t xml:space="preserve">ΔH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change — it is still −20 kJ, because the catalyst did not move the reactant level (30 kJ) or the product level (10 kJ).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catalyzed Ea (30 kJ); 1 point for stating ΔH is unchanged (−20 kJ)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the reason that the reactant and product levels did not move. A student who says the catalyst changed ΔH has the central misconception — flag it for a one-on-one: the catalyst lowers only the barrier. NYSSLS: DC1.B; PS3-1.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t xml:space="preserve">The Exit Ticket uses a</w:t>
      </w:r>
      <w:r>
        <w:t xml:space="preserve"> </w:t>
      </w:r>
      <w:r>
        <w:rPr>
          <w:b/>
          <w:bCs/>
        </w:rPr>
        <w:t xml:space="preserve">new endothermic</w:t>
      </w:r>
      <w:r>
        <w:t xml:space="preserve"> </w:t>
      </w:r>
      <w:r>
        <w:t xml:space="preserve">diagram — reactants</w:t>
      </w:r>
      <w:r>
        <w:t xml:space="preserve"> </w:t>
      </w:r>
      <w:r>
        <w:rPr>
          <w:b/>
          <w:bCs/>
        </w:rPr>
        <w:t xml:space="preserve">20 kJ</w:t>
      </w:r>
      <w:r>
        <w:t xml:space="preserve">, activated complex (peak)</w:t>
      </w:r>
      <w:r>
        <w:t xml:space="preserve"> </w:t>
      </w:r>
      <w:r>
        <w:rPr>
          <w:b/>
          <w:bCs/>
        </w:rPr>
        <w:t xml:space="preserve">70 kJ</w:t>
      </w:r>
      <w:r>
        <w:t xml:space="preserve">, products</w:t>
      </w:r>
      <w:r>
        <w:t xml:space="preserve"> </w:t>
      </w:r>
      <w:r>
        <w:rPr>
          <w:b/>
          <w:bCs/>
        </w:rPr>
        <w:t xml:space="preserve">50 kJ</w:t>
      </w:r>
      <w:r>
        <w:t xml:space="preserve"> </w:t>
      </w:r>
      <w:r>
        <w:t xml:space="preserve">— deliberately different from the exothermic diagram practiced during the lesson, so students must read a fresh diagram rather than recall a number.</w:t>
      </w:r>
    </w:p>
    <w:p>
      <w:pPr>
        <w:pStyle w:val="BodyText"/>
      </w:pPr>
      <w:r>
        <w:rPr>
          <w:b/>
          <w:bCs/>
        </w:rPr>
        <w:t xml:space="preserve">(a) Activation energy:</w:t>
      </w:r>
    </w:p>
    <w:p>
      <w:pPr>
        <w:pStyle w:val="BodyText"/>
      </w:pPr>
      <w:r>
        <w:t xml:space="preserve">Ea = peak − reactants = 70 − 20 =</w:t>
      </w:r>
      <w:r>
        <w:t xml:space="preserve"> </w:t>
      </w:r>
      <w:r>
        <w:rPr>
          <w:b/>
          <w:bCs/>
        </w:rPr>
        <w:t xml:space="preserve">50 kJ</w:t>
      </w:r>
      <w:r>
        <w:t xml:space="preserve">.</w:t>
      </w:r>
    </w:p>
    <w:p>
      <w:pPr>
        <w:pStyle w:val="BodyText"/>
      </w:pPr>
      <w:r>
        <w:t xml:space="preserve">The only operation is reading the peak (70 kJ) and the reactant level (20 kJ) and subtracting.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50 kJ; 1 point for showing peak − reactants (not</w:t>
      </w:r>
      <w:r>
        <w:t xml:space="preserve"> </w:t>
      </w:r>
      <w:r>
        <w:t xml:space="preserve">“70 kJ”</w:t>
      </w:r>
      <w:r>
        <w:t xml:space="preserve">). A student who writes 70 kJ measured from the bottom of the axis instead of from the reactant level — reteach the from-the-reactants rule. NYSSLS: DC1.B.</w:t>
      </w:r>
    </w:p>
    <w:p>
      <w:pPr>
        <w:pStyle w:val="BodyText"/>
      </w:pPr>
      <w:r>
        <w:rPr>
          <w:b/>
          <w:bCs/>
        </w:rPr>
        <w:t xml:space="preserve">(b) ΔH and classification:</w:t>
      </w:r>
    </w:p>
    <w:p>
      <w:pPr>
        <w:pStyle w:val="BodyText"/>
      </w:pPr>
      <w:r>
        <w:t xml:space="preserve">ΔH = products − reactants = 50 − 20 =</w:t>
      </w:r>
      <w:r>
        <w:t xml:space="preserve"> </w:t>
      </w:r>
      <w:r>
        <w:rPr>
          <w:b/>
          <w:bCs/>
        </w:rPr>
        <w:t xml:space="preserve">+30 kJ</w:t>
      </w:r>
      <w:r>
        <w:t xml:space="preserve">. The reaction is</w:t>
      </w:r>
      <w:r>
        <w:t xml:space="preserve"> </w:t>
      </w:r>
      <w:r>
        <w:rPr>
          <w:b/>
          <w:bCs/>
        </w:rPr>
        <w:t xml:space="preserve">endothermic</w:t>
      </w:r>
      <w:r>
        <w:t xml:space="preserve"> </w:t>
      </w:r>
      <w:r>
        <w:t xml:space="preserve">because the products (50 kJ) are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than the reactants (20 kJ) — the system absorbed 30 kJ of energy.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ΔH = +30 kJ (accept</w:t>
      </w:r>
      <w:r>
        <w:t xml:space="preserve"> </w:t>
      </w:r>
      <w:r>
        <w:t xml:space="preserve">“+30 kJ”</w:t>
      </w:r>
      <w:r>
        <w:t xml:space="preserve"> </w:t>
      </w:r>
      <w:r>
        <w:t xml:space="preserve">or</w:t>
      </w:r>
      <w:r>
        <w:t xml:space="preserve"> </w:t>
      </w:r>
      <w:r>
        <w:t xml:space="preserve">“30 kJ absorbed”</w:t>
      </w:r>
      <w:r>
        <w:t xml:space="preserve">); 1 point for</w:t>
      </w:r>
      <w:r>
        <w:t xml:space="preserve"> </w:t>
      </w:r>
      <w:r>
        <w:t xml:space="preserve">“endothermic”</w:t>
      </w:r>
      <w:r>
        <w:t xml:space="preserve"> </w:t>
      </w:r>
      <w:r>
        <w:t xml:space="preserve">justified by the products sitting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than the reactants. A student who says</w:t>
      </w:r>
      <w:r>
        <w:t xml:space="preserve"> </w:t>
      </w:r>
      <w:r>
        <w:t xml:space="preserve">“exothermic”</w:t>
      </w:r>
      <w:r>
        <w:t xml:space="preserve"> </w:t>
      </w:r>
      <w:r>
        <w:t xml:space="preserve">misread the relative heights — point to the diagram: products are above reactants here, the opposite of the practice diagram. NYSSLS: DC1.B.</w:t>
      </w:r>
    </w:p>
    <w:p>
      <w:pPr>
        <w:pStyle w:val="BodyText"/>
      </w:pPr>
      <w:r>
        <w:rPr>
          <w:b/>
          <w:bCs/>
        </w:rPr>
        <w:t xml:space="preserve">(c) Why a catalyst speeds the reaction without changing ΔH: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A catalyst lowers the activation energy — the height of the barrier the reactants must climb — so more collisions have enough energy to react and the reaction goes faster; but the catalyst does not move the reactant level (20 kJ) or the product level (50 kJ), so ΔH stays +30 kJ.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(1) says the catalyst lowers the activation energy / barrier and (2) notes that the reactant and product levels (and therefore ΔH) are unchanged earns full credit.</w:t>
      </w:r>
      <w:r>
        <w:t xml:space="preserve"> </w:t>
      </w:r>
      <w:r>
        <w:t xml:space="preserve">“It just makes it faster”</w:t>
      </w:r>
      <w:r>
        <w:t xml:space="preserve"> </w:t>
      </w:r>
      <w:r>
        <w:t xml:space="preserve">with no mention of the activation energy earns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identifying that the catalyst lowers Ea (the barrier), 1 point for stating that ΔH is unchanged because the reactant and product levels do not move. NYSSLS: DC1.B; PS3-1.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1"/>
        </w:numPr>
      </w:pPr>
      <w:r>
        <w:t xml:space="preserve">A specific concept that clicked —</w:t>
      </w:r>
      <w:r>
        <w:t xml:space="preserve"> </w:t>
      </w:r>
      <w:r>
        <w:t xml:space="preserve">“I finally get that</w:t>
      </w:r>
      <w:r>
        <w:t xml:space="preserve"> </w:t>
      </w:r>
      <w:r>
        <w:t xml:space="preserve">‘releases energy’</w:t>
      </w:r>
      <w:r>
        <w:t xml:space="preserve"> </w:t>
      </w:r>
      <w:r>
        <w:t xml:space="preserve">and</w:t>
      </w:r>
      <w:r>
        <w:t xml:space="preserve"> </w:t>
      </w:r>
      <w:r>
        <w:t xml:space="preserve">‘needs a spark’</w:t>
      </w:r>
      <w:r>
        <w:t xml:space="preserve"> </w:t>
      </w:r>
      <w:r>
        <w:t xml:space="preserve">are two different parts of the same graph”</w:t>
      </w:r>
      <w:r>
        <w:t xml:space="preserve"> </w:t>
      </w:r>
      <w:r>
        <w:t xml:space="preserve">— rather than a generic</w:t>
      </w:r>
      <w:r>
        <w:t xml:space="preserve"> </w:t>
      </w:r>
      <w:r>
        <w:t xml:space="preserve">“I learned about diagrams.”</w:t>
      </w:r>
      <w:r>
        <w:t xml:space="preserve"> </w:t>
      </w:r>
      <w:r>
        <w:t xml:space="preserve">Specificity signals real transfer.</w:t>
      </w:r>
    </w:p>
    <w:p>
      <w:pPr>
        <w:pStyle w:val="Compact"/>
        <w:numPr>
          <w:ilvl w:val="0"/>
          <w:numId w:val="1001"/>
        </w:numPr>
      </w:pPr>
      <w:r>
        <w:t xml:space="preserve">Any mention of the whiteboard build (BTC) or a groupmate who helped —</w:t>
      </w:r>
      <w:r>
        <w:t xml:space="preserve"> </w:t>
      </w:r>
      <w:r>
        <w:t xml:space="preserve">“my group caught that I drew the catalyst lowering the products instead of the peak”</w:t>
      </w:r>
      <w:r>
        <w:t xml:space="preserve"> </w:t>
      </w:r>
      <w:r>
        <w:t xml:space="preserve">— signals that the visibly-random-groups structure supported learning. Note these students.</w:t>
      </w:r>
    </w:p>
    <w:p>
      <w:pPr>
        <w:pStyle w:val="Compact"/>
        <w:numPr>
          <w:ilvl w:val="0"/>
          <w:numId w:val="1001"/>
        </w:numPr>
      </w:pPr>
      <w:r>
        <w:t xml:space="preserve">Responses connecting the activation-energy</w:t>
      </w:r>
      <w:r>
        <w:t xml:space="preserve"> </w:t>
      </w:r>
      <w:r>
        <w:t xml:space="preserve">“hump”</w:t>
      </w:r>
      <w:r>
        <w:t xml:space="preserve"> </w:t>
      </w:r>
      <w:r>
        <w:t xml:space="preserve">back to the opening-circle story (a hard push to start something) show the strongest everyday-to-science transfer.</w:t>
      </w:r>
    </w:p>
    <w:p>
      <w:pPr>
        <w:pStyle w:val="FirstParagraph"/>
      </w:pPr>
      <w:r>
        <w:t xml:space="preserve">If a student’s Exit Ticket reads Ea as the peak height above the axis (e.g.,</w:t>
      </w:r>
      <w:r>
        <w:t xml:space="preserve"> </w:t>
      </w:r>
      <w:r>
        <w:t xml:space="preserve">“70 kJ”</w:t>
      </w:r>
      <w:r>
        <w:t xml:space="preserve"> </w:t>
      </w:r>
      <w:r>
        <w:t xml:space="preserve">instead of 50 kJ), the error is in the</w:t>
      </w:r>
      <w:r>
        <w:t xml:space="preserve"> </w:t>
      </w:r>
      <w:r>
        <w:rPr>
          <w:i/>
          <w:iCs/>
        </w:rPr>
        <w:t xml:space="preserve">from-the-reactant-level</w:t>
      </w:r>
      <w:r>
        <w:t xml:space="preserve"> </w:t>
      </w:r>
      <w:r>
        <w:t xml:space="preserve">reading, not the arithmetic — a 30-second check at the start of the next lesson, pointing to where the Ea arrow begins, should resolve it. If a student claims a catalyst changes ΔH, address the misconception directly before the equilibrium lessons build on it.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2026-06-01T19:45:42Z</dcterms:created>
  <dcterms:modified xsi:type="dcterms:W3CDTF">2026-06-01T19:45:42Z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