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b9238d395f1c954549e92f5edd9caaad865ab86"/>
    <w:p>
      <w:pPr>
        <w:pStyle w:val="Heading1"/>
      </w:pPr>
      <w:r>
        <w:t xml:space="preserve">Arrhenius Theory of Acids &amp; Bases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Acids and Bases — Lesson 01: Arrhenius Theory of Acids &amp; Bases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NYSSLS tag: HS-PS1-2 (pattern of chemical properties explained by a common ion)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FirstParagraph"/>
      </w:pPr>
      <w:r>
        <w:rPr>
          <w:b/>
          <w:bCs/>
        </w:rPr>
        <w:t xml:space="preserve">1. HNO₃ (never tested):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Acid or base:</w:t>
      </w:r>
      <w:r>
        <w:t xml:space="preserve"> </w:t>
      </w:r>
      <w:r>
        <w:t xml:space="preserve">Acid.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How you know from the formula:</w:t>
      </w:r>
      <w:r>
        <w:t xml:space="preserve"> </w:t>
      </w:r>
      <w:r>
        <w:t xml:space="preserve">The formula starts with a leading H (HNO₃). Substances whose formula begins with H release H⁺ in water and are Arrhenius acids.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Ion produced in water:</w:t>
      </w:r>
      <w:r>
        <w:t xml:space="preserve"> </w:t>
      </w:r>
      <w:r>
        <w:t xml:space="preserve">H⁺ (the hydrogen ion). HNO₃ → H⁺ + NO₃⁻.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</w:t>
      </w:r>
      <w:r>
        <w:t xml:space="preserve"> </w:t>
      </w:r>
      <w:r>
        <w:t xml:space="preserve">“acid”</w:t>
      </w:r>
      <w:r>
        <w:t xml:space="preserve">; 1 point for citing the leading H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naming H⁺ as the ion. Naming</w:t>
      </w:r>
      <w:r>
        <w:t xml:space="preserve"> </w:t>
      </w:r>
      <w:r>
        <w:t xml:space="preserve">“acid”</w:t>
      </w:r>
      <w:r>
        <w:t xml:space="preserve"> </w:t>
      </w:r>
      <w:r>
        <w:t xml:space="preserve">without the formula reasoning earns partial credit. NYSSLS: HS-PS1-2.</w:t>
      </w:r>
    </w:p>
    <w:p>
      <w:pPr>
        <w:pStyle w:val="BodyText"/>
      </w:pPr>
      <w:r>
        <w:rPr>
          <w:b/>
          <w:bCs/>
        </w:rPr>
        <w:t xml:space="preserve">2. KOH (never tested):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Acid or base:</w:t>
      </w:r>
      <w:r>
        <w:t xml:space="preserve"> </w:t>
      </w:r>
      <w:r>
        <w:t xml:space="preserve">Base.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How you know from the formula:</w:t>
      </w:r>
      <w:r>
        <w:t xml:space="preserve"> </w:t>
      </w:r>
      <w:r>
        <w:t xml:space="preserve">The formula contains an OH group bonded to a metal (potassium). Substances with a metal–OH formula release OH⁻ in water and are Arrhenius bases.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Ion produced in water:</w:t>
      </w:r>
      <w:r>
        <w:t xml:space="preserve"> </w:t>
      </w:r>
      <w:r>
        <w:t xml:space="preserve">OH⁻ (the hydroxide ion). KOH → K⁺ + OH⁻.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</w:t>
      </w:r>
      <w:r>
        <w:t xml:space="preserve"> </w:t>
      </w:r>
      <w:r>
        <w:t xml:space="preserve">“base”</w:t>
      </w:r>
      <w:r>
        <w:t xml:space="preserve">; 1 point for citing the OH group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naming OH⁻ as the ion. NYSSLS: HS-PS1-2.</w:t>
      </w:r>
    </w:p>
    <w:p>
      <w:pPr>
        <w:pStyle w:val="BodyText"/>
      </w:pPr>
      <w:r>
        <w:rPr>
          <w:b/>
          <w:bCs/>
        </w:rPr>
        <w:t xml:space="preserve">3. Lemon juice and dilute HCl gave the same results: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Single ion both produce:</w:t>
      </w:r>
      <w:r>
        <w:t xml:space="preserve"> </w:t>
      </w:r>
      <w:r>
        <w:t xml:space="preserve">H⁺ (the hydrogen ion). The acid in lemon juice (citric acid) and HCl both release H⁺ in water.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Why this explains the shared properties:</w:t>
      </w:r>
      <w:r>
        <w:t xml:space="preserve"> </w:t>
      </w:r>
      <w:r>
        <w:t xml:space="preserve">Lemon juice and HCl are made of completely different other atoms, but the one ion they both release into water is H⁺. Because H⁺ is the part they have in common, and the litmus and metal behavior is also the same, the shared properties must be caused by the shared ion (H⁺) — not by the parts of each substance that are different. This is the Patterns CCC: a shared pattern of properties points to a shared underlying cause.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naming H⁺ as the shared ion; 1 point for explaining that the shared property traces to the shared ion (not to the differing parts). Full credit requires the cause-and-pattern link, not just</w:t>
      </w:r>
      <w:r>
        <w:t xml:space="preserve"> </w:t>
      </w:r>
      <w:r>
        <w:t xml:space="preserve">“they’re both acids.”</w:t>
      </w:r>
      <w:r>
        <w:t xml:space="preserve"> </w:t>
      </w:r>
      <w:r>
        <w:t xml:space="preserve">NYSSLS: HS-PS1-2.</w:t>
      </w:r>
    </w:p>
    <w:p>
      <w:pPr>
        <w:pStyle w:val="BodyText"/>
      </w:pPr>
      <w:r>
        <w:rPr>
          <w:b/>
          <w:bCs/>
        </w:rPr>
        <w:t xml:space="preserve">4. NaCl (table salt):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Acid, base, or neither:</w:t>
      </w:r>
      <w:r>
        <w:t xml:space="preserve"> </w:t>
      </w:r>
      <w:r>
        <w:t xml:space="preserve">Neither (neutral).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Prediction for litmus:</w:t>
      </w:r>
      <w:r>
        <w:t xml:space="preserve"> </w:t>
      </w:r>
      <w:r>
        <w:t xml:space="preserve">No color change to either red or blue litmus — it behaves like the distilled-water control. NaCl has no leading H (no H⁺ released) and no OH group (no OH⁻ released), so it produces neither ion in water and shows no acid or base properties.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</w:t>
      </w:r>
      <w:r>
        <w:t xml:space="preserve"> </w:t>
      </w:r>
      <w:r>
        <w:t xml:space="preserve">“neither/neutral”</w:t>
      </w:r>
      <w:r>
        <w:t xml:space="preserve">; 1 point for predicting no litmus change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explaining the absence of a leading H or OH group. NYSSLS: HS-PS1-2.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rPr>
          <w:b/>
          <w:bCs/>
        </w:rPr>
        <w:t xml:space="preserve">(a) and (b) — Classification from the formula and the ion produced: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Ion produced in water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</w:t>
            </w:r>
          </w:p>
        </w:tc>
        <w:tc>
          <w:tcPr/>
          <w:p>
            <w:pPr>
              <w:pStyle w:val="Compact"/>
            </w:pPr>
            <w:r>
              <w:t xml:space="preserve">Arrhenius acid</w:t>
            </w:r>
          </w:p>
        </w:tc>
        <w:tc>
          <w:tcPr/>
          <w:p>
            <w:pPr>
              <w:pStyle w:val="Compact"/>
            </w:pPr>
            <w:r>
              <w:t xml:space="preserve">H⁺</w:t>
            </w:r>
          </w:p>
        </w:tc>
        <w:tc>
          <w:tcPr/>
          <w:p>
            <w:pPr>
              <w:pStyle w:val="Compact"/>
            </w:pPr>
            <w:r>
              <w:t xml:space="preserve">Leading H → releases H⁺. HI → H⁺ + I⁻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LiOH</w:t>
            </w:r>
          </w:p>
        </w:tc>
        <w:tc>
          <w:tcPr/>
          <w:p>
            <w:pPr>
              <w:pStyle w:val="Compact"/>
            </w:pPr>
            <w:r>
              <w:t xml:space="preserve">Arrhenius base</w:t>
            </w:r>
          </w:p>
        </w:tc>
        <w:tc>
          <w:tcPr/>
          <w:p>
            <w:pPr>
              <w:pStyle w:val="Compact"/>
            </w:pPr>
            <w:r>
              <w:t xml:space="preserve">OH⁻</w:t>
            </w:r>
          </w:p>
        </w:tc>
        <w:tc>
          <w:tcPr/>
          <w:p>
            <w:pPr>
              <w:pStyle w:val="Compact"/>
            </w:pPr>
            <w:r>
              <w:t xml:space="preserve">OH group bonded to a metal (lithium) → releases OH⁻. LiOH → Li⁺ + OH⁻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HClO₃</w:t>
            </w:r>
          </w:p>
        </w:tc>
        <w:tc>
          <w:tcPr/>
          <w:p>
            <w:pPr>
              <w:pStyle w:val="Compact"/>
            </w:pPr>
            <w:r>
              <w:t xml:space="preserve">Arrhenius acid</w:t>
            </w:r>
          </w:p>
        </w:tc>
        <w:tc>
          <w:tcPr/>
          <w:p>
            <w:pPr>
              <w:pStyle w:val="Compact"/>
            </w:pPr>
            <w:r>
              <w:t xml:space="preserve">H⁺</w:t>
            </w:r>
          </w:p>
        </w:tc>
        <w:tc>
          <w:tcPr/>
          <w:p>
            <w:pPr>
              <w:pStyle w:val="Compact"/>
            </w:pPr>
            <w:r>
              <w:t xml:space="preserve">Leading H → releases H⁺. HClO₃ → H⁺ + ClO₃⁻</w:t>
            </w:r>
          </w:p>
        </w:tc>
      </w:tr>
    </w:tbl>
    <w:p>
      <w:pPr>
        <w:pStyle w:val="BodyText"/>
      </w:pPr>
      <w:r>
        <w:t xml:space="preserve">These three substances were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tested in the stations lab, so students must apply the formula rule rather than recall a result. Note that HClO₃ contains both an H and oxygen, but the leading H is what makes it an acid — students who classify it as a base because they see</w:t>
      </w:r>
      <w:r>
        <w:t xml:space="preserve"> </w:t>
      </w:r>
      <w:r>
        <w:t xml:space="preserve">“O…”</w:t>
      </w:r>
      <w:r>
        <w:t xml:space="preserve"> </w:t>
      </w:r>
      <w:r>
        <w:t xml:space="preserve">should be redirected to the leading-H rule.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part (a) — 1 point for each correct classification (3 points total). Part (b) — 1 point for correctly pairing H⁺ with the two acids and OH⁻ with the base (1 point total for the full set; partial credit for a partial set). A common error is calling HClO₃ a base because it contains oxygen and an implied O–H; flag the leading-H rule. NYSSLS: HS-PS1-2.</w:t>
      </w:r>
    </w:p>
    <w:p>
      <w:pPr>
        <w:pStyle w:val="BodyText"/>
      </w:pPr>
      <w:r>
        <w:rPr>
          <w:b/>
          <w:bCs/>
        </w:rPr>
        <w:t xml:space="preserve">(c) Why all acids share the same properties:</w:t>
      </w:r>
    </w:p>
    <w:p>
      <w:pPr>
        <w:pStyle w:val="BodyText"/>
      </w:pPr>
      <w:r>
        <w:rPr>
          <w:i/>
          <w:iCs/>
        </w:rPr>
        <w:t xml:space="preserve">Full-credit model answer:</w:t>
      </w:r>
      <w:r>
        <w:t xml:space="preserve"> </w:t>
      </w:r>
      <w:r>
        <w:t xml:space="preserve">All acids share the same properties because they all release the same ion — the hydrogen ion, H⁺ — into water; even though the acids are made of different other elements, the shared H⁺ is the common cause behind the shared pattern of properties (sour, reacting with metals, turning blue litmus red).</w:t>
      </w:r>
    </w:p>
    <w:p>
      <w:pPr>
        <w:pStyle w:val="BodyText"/>
      </w:pPr>
      <w:r>
        <w:rPr>
          <w:i/>
          <w:iCs/>
        </w:rPr>
        <w:t xml:space="preserve">Acceptable variations:</w:t>
      </w:r>
      <w:r>
        <w:t xml:space="preserve"> </w:t>
      </w:r>
      <w:r>
        <w:t xml:space="preserve">Any response that (i) identifies H⁺ (the hydrogen ion) as the common ion all acids release, and (ii) connects that shared ion to the shared properties (the Patterns idea — same ion, same behavior, regardless of the other elements). Responses that say only</w:t>
      </w:r>
      <w:r>
        <w:t xml:space="preserve"> </w:t>
      </w:r>
      <w:r>
        <w:t xml:space="preserve">“they’re all acids”</w:t>
      </w:r>
      <w:r>
        <w:t xml:space="preserve"> </w:t>
      </w:r>
      <w:r>
        <w:t xml:space="preserve">or</w:t>
      </w:r>
      <w:r>
        <w:t xml:space="preserve"> </w:t>
      </w:r>
      <w:r>
        <w:t xml:space="preserve">“they all have H in the formula”</w:t>
      </w:r>
      <w:r>
        <w:t xml:space="preserve"> </w:t>
      </w:r>
      <w:r>
        <w:t xml:space="preserve">without naming H⁺ as the released ion responsible for the behavior earn partial credit.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2 points total — 1 point for naming H⁺ (hydrogen ion) as the common ion every acid produces in water; 1 point for explaining that the shared ion is the cause of the shared property pattern (not the differing parts of each formula). NYSSLS: HS-PS1-2.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The closing reflection is formative, not graded. Award full credit for any genuine, specific response. Look for:</w:t>
      </w:r>
    </w:p>
    <w:p>
      <w:pPr>
        <w:pStyle w:val="Compact"/>
        <w:numPr>
          <w:ilvl w:val="0"/>
          <w:numId w:val="1005"/>
        </w:numPr>
      </w:pPr>
      <w:r>
        <w:t xml:space="preserve">Any mention of how two substances from totally different sources (lemon juice and HCl, or soap and drain cleaner) produced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result at a station — students who connect the surprise to the shared-ion idea are showing that the Patterns concept landed.</w:t>
      </w:r>
    </w:p>
    <w:p>
      <w:pPr>
        <w:pStyle w:val="Compact"/>
        <w:numPr>
          <w:ilvl w:val="0"/>
          <w:numId w:val="1005"/>
        </w:numPr>
      </w:pPr>
      <w:r>
        <w:t xml:space="preserve">Responses that name a partner or a specific station result (</w:t>
      </w:r>
      <w:r>
        <w:t xml:space="preserve">“the metal only fizzed at the acid stations”</w:t>
      </w:r>
      <w:r>
        <w:t xml:space="preserve">) as the thing that changed their thinking — this signals that the active-learning structure (data before vocabulary) did the cognitive work it was designed to do.</w:t>
      </w:r>
    </w:p>
    <w:p>
      <w:pPr>
        <w:pStyle w:val="Compact"/>
        <w:numPr>
          <w:ilvl w:val="0"/>
          <w:numId w:val="1005"/>
        </w:numPr>
      </w:pPr>
      <w:r>
        <w:t xml:space="preserve">The strongest transfer appears when a student connects the lab back to the opening circle — a sour food or slippery soap from their own experience now sorted into the right family by behavior.</w:t>
      </w:r>
    </w:p>
    <w:p>
      <w:pPr>
        <w:pStyle w:val="FirstParagraph"/>
      </w:pPr>
      <w:r>
        <w:t xml:space="preserve">If a student classified substances by</w:t>
      </w:r>
      <w:r>
        <w:t xml:space="preserve"> </w:t>
      </w:r>
      <w:r>
        <w:rPr>
          <w:i/>
          <w:iCs/>
        </w:rPr>
        <w:t xml:space="preserve">source</w:t>
      </w:r>
      <w:r>
        <w:t xml:space="preserve"> </w:t>
      </w:r>
      <w:r>
        <w:t xml:space="preserve">(</w:t>
      </w:r>
      <w:r>
        <w:t xml:space="preserve">“it came from a lemon, so it’s natural and not really an acid”</w:t>
      </w:r>
      <w:r>
        <w:t xml:space="preserve">) rather than by the leading H / OH group and the litmus behavior, have a brief one-on-one before the next lesson: re-anchor on the formula rule (leading H → H⁺ → acid) and the station data, which sorted household and lab substances together purely by behavior.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2026-06-01T19:45:44Z</dcterms:created>
  <dcterms:modified xsi:type="dcterms:W3CDTF">2026-06-01T19:45:44Z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