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ed592627bfa5d0a82e78c5547353daf8e8c5b1"/>
    <w:p>
      <w:pPr>
        <w:pStyle w:val="Heading1"/>
      </w:pPr>
      <w:r>
        <w:t xml:space="preserve">Cumulative Review — One Story of Matter and Energy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Regents Review — Lesson 01: Cumulative Review (One Story of Matter and Energy)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Cumulative (HS-PS1 through HS-PS3); SEP-2 (models) and SEP-5 (math / reference tables)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Gram formula mass of CO₂, and moles in 88 g.</w:t>
      </w:r>
    </w:p>
    <w:p>
      <w:pPr>
        <w:pStyle w:val="BodyText"/>
      </w:pPr>
      <w:r>
        <w:rPr>
          <w:i/>
          <w:iCs/>
        </w:rPr>
        <w:t xml:space="preserve">Question type:</w:t>
      </w:r>
      <w:r>
        <w:t xml:space="preserve"> </w:t>
      </w:r>
      <w:r>
        <w:t xml:space="preserve">mole conversion (grams → moles), Table 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44.0 g/mol</w:t>
            </w:r>
          </w:p>
        </w:tc>
      </w:tr>
    </w:tbl>
    <w:p>
      <w:pPr>
        <w:pStyle w:val="BodyText"/>
      </w:pPr>
      <w:r>
        <w:t xml:space="preserve">Moles = mass ÷ GFM = 88 g ÷ 44.0 g/mol =</w:t>
      </w:r>
      <w:r>
        <w:t xml:space="preserve"> </w:t>
      </w:r>
      <w:r>
        <w:rPr>
          <w:b/>
          <w:bCs/>
        </w:rPr>
        <w:t xml:space="preserve">2.0 mol.</w:t>
      </w:r>
    </w:p>
    <w:p>
      <w:pPr>
        <w:pStyle w:val="BodyText"/>
      </w:pPr>
      <w:r>
        <w:t xml:space="preserve">Step-by-step: C contributes 12.0 × 1 = 12.0; O contributes 16.0 × 2 = 32.0; GFM = 44.0 g/mol. Then 88 ÷ 44 = 2.0 mol. The most common error is dropping the subscript 2 on oxygen (giving GFM = 28 and moles = 3.14) — flag the subscript step if seen.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correct GFM (44 g/mol) with the O × 2 shown; 1 point for the correct mole setup and answer (88 ÷ 44 = 2.0 mol). · NYSSLS: HS-PS1-7 / SEP-5.</w:t>
      </w:r>
    </w:p>
    <w:p>
      <w:pPr>
        <w:pStyle w:val="BodyText"/>
      </w:pPr>
      <w:r>
        <w:rPr>
          <w:b/>
          <w:bCs/>
        </w:rPr>
        <w:t xml:space="preserve">2. Reference-table retrieval: density of aluminum; solubility of AgCl.</w:t>
      </w:r>
    </w:p>
    <w:p>
      <w:pPr>
        <w:pStyle w:val="BodyText"/>
      </w:pPr>
      <w:r>
        <w:rPr>
          <w:i/>
          <w:iCs/>
        </w:rPr>
        <w:t xml:space="preserve">Question type:</w:t>
      </w:r>
      <w:r>
        <w:t xml:space="preserve"> </w:t>
      </w:r>
      <w:r>
        <w:t xml:space="preserve">reference-table lookup.</w:t>
      </w:r>
    </w:p>
    <w:p>
      <w:pPr>
        <w:pStyle w:val="Compact"/>
        <w:numPr>
          <w:ilvl w:val="0"/>
          <w:numId w:val="1001"/>
        </w:numPr>
      </w:pPr>
      <w:r>
        <w:t xml:space="preserve">Density of aluminum =</w:t>
      </w:r>
      <w:r>
        <w:t xml:space="preserve"> </w:t>
      </w:r>
      <w:r>
        <w:rPr>
          <w:b/>
          <w:bCs/>
        </w:rPr>
        <w:t xml:space="preserve">2.70 g/cm³</w:t>
      </w:r>
      <w:r>
        <w:t xml:space="preserve"> </w:t>
      </w:r>
      <w:r>
        <w:t xml:space="preserve">— found on</w:t>
      </w:r>
      <w:r>
        <w:t xml:space="preserve"> </w:t>
      </w:r>
      <w:r>
        <w:rPr>
          <w:b/>
          <w:bCs/>
        </w:rPr>
        <w:t xml:space="preserve">Table S</w:t>
      </w:r>
      <w:r>
        <w:t xml:space="preserve"> </w:t>
      </w:r>
      <w:r>
        <w:t xml:space="preserve">(Properties of Selected Elements).</w:t>
      </w:r>
    </w:p>
    <w:p>
      <w:pPr>
        <w:pStyle w:val="Compact"/>
        <w:numPr>
          <w:ilvl w:val="0"/>
          <w:numId w:val="1001"/>
        </w:numPr>
      </w:pPr>
      <w:r>
        <w:t xml:space="preserve">AgCl is</w:t>
      </w:r>
      <w:r>
        <w:t xml:space="preserve"> </w:t>
      </w:r>
      <w:r>
        <w:rPr>
          <w:b/>
          <w:bCs/>
        </w:rPr>
        <w:t xml:space="preserve">insoluble</w:t>
      </w:r>
      <w:r>
        <w:t xml:space="preserve"> </w:t>
      </w:r>
      <w:r>
        <w:t xml:space="preserve">in water — found on</w:t>
      </w:r>
      <w:r>
        <w:t xml:space="preserve"> </w:t>
      </w:r>
      <w:r>
        <w:rPr>
          <w:b/>
          <w:bCs/>
        </w:rPr>
        <w:t xml:space="preserve">Table F</w:t>
      </w:r>
      <w:r>
        <w:t xml:space="preserve"> </w:t>
      </w:r>
      <w:r>
        <w:t xml:space="preserve">(Solubility Guidelines). Chlorides are generally soluble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those of Ag⁺, Pb²⁺, and Hg₂²⁺; AgCl falls under that exception.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density value with Table S named; 1 point for</w:t>
      </w:r>
      <w:r>
        <w:t xml:space="preserve"> </w:t>
      </w:r>
      <w:r>
        <w:t xml:space="preserve">“insoluble”</w:t>
      </w:r>
      <w:r>
        <w:t xml:space="preserve"> </w:t>
      </w:r>
      <w:r>
        <w:t xml:space="preserve">with Table F named. Partial credit (1 of 2) for correct values without naming the tables. The point of the station is table fluency, so naming the table is part of full credit. · NYSSLS: SEP-5 / HS-PS1-3.</w:t>
      </w:r>
    </w:p>
    <w:p>
      <w:pPr>
        <w:pStyle w:val="BodyText"/>
      </w:pPr>
      <w:r>
        <w:rPr>
          <w:b/>
          <w:bCs/>
        </w:rPr>
        <w:t xml:space="preserve">3. Balancing: H₂ + O₂ → H₂O.</w:t>
      </w:r>
    </w:p>
    <w:p>
      <w:pPr>
        <w:pStyle w:val="BodyText"/>
      </w:pPr>
      <w:r>
        <w:rPr>
          <w:i/>
          <w:iCs/>
        </w:rPr>
        <w:t xml:space="preserve">Question type:</w:t>
      </w:r>
      <w:r>
        <w:t xml:space="preserve"> </w:t>
      </w:r>
      <w:r>
        <w:t xml:space="preserve">balancing / conservation of mass.</w:t>
      </w:r>
    </w:p>
    <w:p>
      <w:pPr>
        <w:pStyle w:val="BodyText"/>
      </w:pPr>
      <w:r>
        <w:t xml:space="preserve">Balanced:</w:t>
      </w:r>
      <w:r>
        <w:t xml:space="preserve"> </w:t>
      </w:r>
      <w:r>
        <w:rPr>
          <w:b/>
          <w:bCs/>
        </w:rPr>
        <w:t xml:space="preserve">2 H₂ + 1 O₂ → 2 H₂O.</w:t>
      </w:r>
    </w:p>
    <w:p>
      <w:pPr>
        <w:pStyle w:val="BodyText"/>
      </w:pPr>
      <w:r>
        <w:t xml:space="preserve">Check: left side has 4 H (2 × 2) and 2 O (1 × 2); right side has 4 H (2 × 2) and 2 O (2 × 1). Atoms balance, so mass is conserved.</w:t>
      </w:r>
      <w:r>
        <w:t xml:space="preserve"> </w:t>
      </w:r>
      <w:r>
        <w:rPr>
          <w:b/>
          <w:bCs/>
        </w:rPr>
        <w:t xml:space="preserve">Mass is conserved because atoms are neither created nor destroyed in a chemical reaction — they are only rearranged</w:t>
      </w:r>
      <w:r>
        <w:t xml:space="preserve">, so the total mass of reactants equals the total mass of products (Law of Conservation of Mass).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whole-number coefficients (2, 1, 2 — accept the leading 1 omitted); 1 point for a conservation-of-mass explanation that references atoms being rearranged, not created or destroyed. A student who writes</w:t>
      </w:r>
      <w:r>
        <w:t xml:space="preserve"> </w:t>
      </w:r>
      <w:r>
        <w:t xml:space="preserve">“2 H₂ + 1.5 O₂ → 2 H₂O”</w:t>
      </w:r>
      <w:r>
        <w:t xml:space="preserve"> </w:t>
      </w:r>
      <w:r>
        <w:t xml:space="preserve">has the right ratio but must clear the fraction to whole numbers for Regents credit — note this. · NYSSLS: HS-PS1-7.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Moles in 36 g of water (H₂O):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18.0 g/mol</w:t>
            </w:r>
          </w:p>
        </w:tc>
      </w:tr>
    </w:tbl>
    <w:p>
      <w:pPr>
        <w:pStyle w:val="BodyText"/>
      </w:pPr>
      <w:r>
        <w:t xml:space="preserve">Moles = mass ÷ GFM = 36 g ÷ 18.0 g/mol =</w:t>
      </w:r>
      <w:r>
        <w:t xml:space="preserve"> </w:t>
      </w:r>
      <w:r>
        <w:rPr>
          <w:b/>
          <w:bCs/>
        </w:rPr>
        <w:t xml:space="preserve">2.0 mol.</w:t>
      </w:r>
    </w:p>
    <w:p>
      <w:pPr>
        <w:pStyle w:val="BodyText"/>
      </w:pPr>
      <w:r>
        <w:t xml:space="preserve">H contributes 1.0 × 2 = 2.0; O contributes 16.0 × 1 = 16.0; GFM = 18.0 g/mol. Then 36 ÷ 18 = 2.0 mol. Note these are deliberately different values from the station practice (which used CO₂ at 88 g) — a student who simply copies the station answer (44 g/mol, or 2.0 mol from 88 g) has not done the new calculation; check that the GFM shown is 18.0, not 44.0.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GFM of H₂O (18.0 g/mol) with the H × 2 shown; 1 point for the correct mole setup and answer (36 ÷ 18 = 2.0 mol). A student who writes only</w:t>
      </w:r>
      <w:r>
        <w:t xml:space="preserve"> </w:t>
      </w:r>
      <w:r>
        <w:t xml:space="preserve">“2.0 mol”</w:t>
      </w:r>
      <w:r>
        <w:t xml:space="preserve"> </w:t>
      </w:r>
      <w:r>
        <w:t xml:space="preserve">with no GFM or setup earns partial credit at most — constructed-response points live in the shown work. · NYSSLS: HS-PS1-7 / SEP-5.</w:t>
      </w:r>
    </w:p>
    <w:p>
      <w:pPr>
        <w:pStyle w:val="BodyText"/>
      </w:pPr>
      <w:r>
        <w:rPr>
          <w:b/>
          <w:bCs/>
        </w:rPr>
        <w:t xml:space="preserve">(b) Is sodium nitrate (NaNO₃) soluble in water?</w:t>
      </w:r>
    </w:p>
    <w:p>
      <w:pPr>
        <w:pStyle w:val="BodyText"/>
      </w:pPr>
      <w:r>
        <w:t xml:space="preserve">NaNO₃ is</w:t>
      </w:r>
      <w:r>
        <w:t xml:space="preserve"> </w:t>
      </w:r>
      <w:r>
        <w:rPr>
          <w:b/>
          <w:bCs/>
        </w:rPr>
        <w:t xml:space="preserve">soluble</w:t>
      </w:r>
      <w:r>
        <w:t xml:space="preserve"> </w:t>
      </w:r>
      <w:r>
        <w:t xml:space="preserve">in water — found on</w:t>
      </w:r>
      <w:r>
        <w:t xml:space="preserve"> </w:t>
      </w:r>
      <w:r>
        <w:rPr>
          <w:b/>
          <w:bCs/>
        </w:rPr>
        <w:t xml:space="preserve">Table F</w:t>
      </w:r>
      <w:r>
        <w:t xml:space="preserve">. Table F states that compounds containing the nitrate ion (NO₃⁻) are soluble (no exceptions), and compounds of Group 1 / alkali metal ions (including Na⁺) are also soluble. Both rules agree: NaNO₃ is soluble.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“soluble”</w:t>
      </w:r>
      <w:r>
        <w:t xml:space="preserve">; 1 point for naming Table F. Bonus note (not required for full credit) if the student cites the nitrate rule or the Group 1 rule by name. The station used AgCl (insoluble) — NaNO₃ here is the contrasting soluble case, so the answer is genuinely different from the practice. · NYSSLS: SEP-5 / HS-PS1-3.</w:t>
      </w:r>
    </w:p>
    <w:p>
      <w:pPr>
        <w:pStyle w:val="BodyText"/>
      </w:pPr>
      <w:r>
        <w:rPr>
          <w:b/>
          <w:bCs/>
        </w:rPr>
        <w:t xml:space="preserve">(c) Pattern sentence connecting two units:</w:t>
      </w:r>
    </w:p>
    <w:p>
      <w:pPr>
        <w:pStyle w:val="BodyText"/>
      </w:pPr>
      <w:r>
        <w:rPr>
          <w:i/>
          <w:iCs/>
        </w:rPr>
        <w:t xml:space="preserve">Full-credit model answers (any one of these, or an equivalent defensible link):</w:t>
      </w:r>
    </w:p>
    <w:p>
      <w:pPr>
        <w:pStyle w:val="Compact"/>
        <w:numPr>
          <w:ilvl w:val="0"/>
          <w:numId w:val="1002"/>
        </w:numPr>
      </w:pPr>
      <w:r>
        <w:t xml:space="preserve">“Atomic Concepts and The Periodic Table connect because the table is organized by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of how electrons fill atoms, so an atom’s position predicts its behavior.”</w:t>
      </w:r>
    </w:p>
    <w:p>
      <w:pPr>
        <w:pStyle w:val="Compact"/>
        <w:numPr>
          <w:ilvl w:val="0"/>
          <w:numId w:val="1002"/>
        </w:numPr>
      </w:pPr>
      <w:r>
        <w:t xml:space="preserve">“Reactions and Heat &amp; Energy connect because the same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— atoms rearranging — both conserves mass and exchanges energy with the surroundings.”</w:t>
      </w:r>
    </w:p>
    <w:p>
      <w:pPr>
        <w:pStyle w:val="Compact"/>
        <w:numPr>
          <w:ilvl w:val="0"/>
          <w:numId w:val="1002"/>
        </w:numPr>
      </w:pPr>
      <w:r>
        <w:t xml:space="preserve">“Moles and Solutions connect because both follow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of measuring how much substance is present, using the reference tables either way.”</w:t>
      </w:r>
    </w:p>
    <w:p>
      <w:pPr>
        <w:pStyle w:val="FirstParagraph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sentence that (1) names two units of the course, (2) uses the word</w:t>
      </w:r>
      <w:r>
        <w:t xml:space="preserve"> </w:t>
      </w:r>
      <w:r>
        <w:t xml:space="preserve">“pattern”</w:t>
      </w:r>
      <w:r>
        <w:t xml:space="preserve"> </w:t>
      </w:r>
      <w:r>
        <w:t xml:space="preserve">(or clearly describes a repeated structure), and (3) ties the link to matter or energy. Reject sentences that only restate a single unit or list facts without a connection.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2 points — 1 for naming two distinct units, 1 for a valid matter-or-energy connection using</w:t>
      </w:r>
      <w:r>
        <w:t xml:space="preserve"> </w:t>
      </w:r>
      <w:r>
        <w:t xml:space="preserve">“pattern.”</w:t>
      </w:r>
      <w:r>
        <w:t xml:space="preserve"> </w:t>
      </w:r>
      <w:r>
        <w:t xml:space="preserve">· NYSSLS: SEP-2 (models) / Patterns CCC.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named</w:t>
      </w:r>
      <w:r>
        <w:t xml:space="preserve"> </w:t>
      </w:r>
      <w:r>
        <w:t xml:space="preserve">topic that feels less scary now and a</w:t>
      </w:r>
      <w:r>
        <w:t xml:space="preserve"> </w:t>
      </w:r>
      <w:r>
        <w:rPr>
          <w:i/>
          <w:iCs/>
        </w:rPr>
        <w:t xml:space="preserve">named</w:t>
      </w:r>
      <w:r>
        <w:t xml:space="preserve"> </w:t>
      </w:r>
      <w:r>
        <w:t xml:space="preserve">helper (a partner, a specific station) — this signals the active-learning station structure reduced anxiety and built peer support, the dual aim of the opening restorative circle.</w:t>
      </w:r>
    </w:p>
    <w:p>
      <w:pPr>
        <w:pStyle w:val="Compact"/>
        <w:numPr>
          <w:ilvl w:val="0"/>
          <w:numId w:val="1003"/>
        </w:numPr>
      </w:pPr>
      <w:r>
        <w:t xml:space="preserve">A concrete review plan for tonight (</w:t>
      </w:r>
      <w:r>
        <w:t xml:space="preserve">“I’ll re-drill Table F solubility”</w:t>
      </w:r>
      <w:r>
        <w:t xml:space="preserve">) rather than a vague</w:t>
      </w:r>
      <w:r>
        <w:t xml:space="preserve"> </w:t>
      </w:r>
      <w:r>
        <w:t xml:space="preserve">“I’ll study”</w:t>
      </w:r>
      <w:r>
        <w:t xml:space="preserve"> </w:t>
      </w:r>
      <w:r>
        <w:t xml:space="preserve">— specificity predicts follow-through.</w:t>
      </w:r>
    </w:p>
    <w:p>
      <w:pPr>
        <w:pStyle w:val="Compact"/>
        <w:numPr>
          <w:ilvl w:val="0"/>
          <w:numId w:val="1003"/>
        </w:numPr>
      </w:pPr>
      <w:r>
        <w:t xml:space="preserve">Any response that connects a station back to the concept map or to the</w:t>
      </w:r>
      <w:r>
        <w:t xml:space="preserve"> </w:t>
      </w:r>
      <w:r>
        <w:t xml:space="preserve">“one story”</w:t>
      </w:r>
      <w:r>
        <w:t xml:space="preserve"> </w:t>
      </w:r>
      <w:r>
        <w:t xml:space="preserve">framing shows the Pattern CCC landed.</w:t>
      </w:r>
    </w:p>
    <w:p>
      <w:pPr>
        <w:pStyle w:val="FirstParagraph"/>
      </w:pPr>
      <w:r>
        <w:t xml:space="preserve">Use the flagged</w:t>
      </w:r>
      <w:r>
        <w:t xml:space="preserve"> </w:t>
      </w:r>
      <w:r>
        <w:t xml:space="preserve">“still shaky”</w:t>
      </w:r>
      <w:r>
        <w:t xml:space="preserve"> </w:t>
      </w:r>
      <w:r>
        <w:t xml:space="preserve">topics from the circle and the reflection to re-weight the practice Regents the next day. If many students flag the same table (commonly Table F solubility), open the next period with a 3-minute table-fluency drill before the practice exam. A student who writes</w:t>
      </w:r>
      <w:r>
        <w:t xml:space="preserve"> </w:t>
      </w:r>
      <w:r>
        <w:t xml:space="preserve">“everything is still scary”</w:t>
      </w:r>
      <w:r>
        <w:t xml:space="preserve"> </w:t>
      </w:r>
      <w:r>
        <w:t xml:space="preserve">should get a brief, supportive one-on-one and a focused two-topic study list — not a generic reassurance.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2026-06-01T19:45:48Z</dcterms:created>
  <dcterms:modified xsi:type="dcterms:W3CDTF">2026-06-01T19:45:48Z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