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fe3338a371e203c29885c251c72687978255167"/>
    <w:p>
      <w:pPr>
        <w:pStyle w:val="Heading1"/>
      </w:pPr>
      <w:r>
        <w:t xml:space="preserve">Cumulative Review — One Story of Matter and Energy — Teacher Guide</w:t>
      </w:r>
    </w:p>
    <w:bookmarkStart w:id="9" w:name="cover"/>
    <w:p>
      <w:pPr>
        <w:pStyle w:val="Heading2"/>
      </w:pPr>
      <w:r>
        <w:t xml:space="preserve">Cover</w:t>
      </w:r>
    </w:p>
    <w:p>
      <w:pPr>
        <w:pStyle w:val="FirstParagraph"/>
      </w:pPr>
      <w:r>
        <w:rPr>
          <w:b/>
          <w:bCs/>
        </w:rPr>
        <w:t xml:space="preserve">Unit: Regents Review — Lesson 01: Cumulative Review (One Story of Matter and Energy)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w:t>
      </w:r>
      <w:r>
        <w:t xml:space="preserve"> </w:t>
      </w:r>
      <w:r>
        <w:rPr>
          <w:b/>
          <w:bCs/>
        </w:rPr>
        <w:t xml:space="preserve">cumulative</w:t>
      </w:r>
      <w:r>
        <w:t xml:space="preserve"> </w:t>
      </w:r>
      <w:r>
        <w:t xml:space="preserve">— it touches every HS-PS standard the course has covered (HS-PS1-1 through HS-PS1-8, HS-PS2 energy connections, HS-PS3 energy in reactions). Rather than introduce new content, it asks students to integrate prior performance expectations into one coherent map: matter is classified, atoms are structured, atoms bond, reactions rearrange atoms while conserving mass and energy, and solutions/acids/redox are all special cases of those same rules. The science-and-engineering practices in focus are</w:t>
      </w:r>
      <w:r>
        <w:t xml:space="preserve"> </w:t>
      </w:r>
      <w:r>
        <w:rPr>
          <w:b/>
          <w:bCs/>
        </w:rPr>
        <w:t xml:space="preserve">SEP-2 (Developing and Using Models)</w:t>
      </w:r>
      <w:r>
        <w:t xml:space="preserve"> </w:t>
      </w:r>
      <w:r>
        <w:t xml:space="preserve">— students build a concept map that links all eleven units — and</w:t>
      </w:r>
      <w:r>
        <w:t xml:space="preserve"> </w:t>
      </w:r>
      <w:r>
        <w:rPr>
          <w:b/>
          <w:bCs/>
        </w:rPr>
        <w:t xml:space="preserve">SEP-5 (Using Mathematics and Computational Thinking)</w:t>
      </w:r>
      <w:r>
        <w:t xml:space="preserve"> </w:t>
      </w:r>
      <w:r>
        <w:t xml:space="preserve">— students fluently retrieve values from the 2025 NYS Chemistry Reference Tables and run mixed-topic calculations under time pressure.</w:t>
      </w:r>
    </w:p>
    <w:p>
      <w:pPr>
        <w:pStyle w:val="BodyText"/>
      </w:pPr>
      <w:r>
        <w:t xml:space="preserve">The Cross-Cutting Concept lens for the day is</w:t>
      </w:r>
      <w:r>
        <w:t xml:space="preserve"> </w:t>
      </w:r>
      <w:r>
        <w:rPr>
          <w:b/>
          <w:bCs/>
        </w:rPr>
        <w:t xml:space="preserve">Patterns</w:t>
      </w:r>
      <w:r>
        <w:t xml:space="preserve"> </w:t>
      </w:r>
      <w:r>
        <w:t xml:space="preserve">— the entire Regents exam rewards students who recognize the</w:t>
      </w:r>
      <w:r>
        <w:t xml:space="preserve"> </w:t>
      </w:r>
      <w:r>
        <w:rPr>
          <w:i/>
          <w:iCs/>
        </w:rPr>
        <w:t xml:space="preserve">pattern</w:t>
      </w:r>
      <w:r>
        <w:t xml:space="preserve"> </w:t>
      </w:r>
      <w:r>
        <w:t xml:space="preserve">a question belongs to (a mole calculation, a Table-S density problem, a Table-F solubility check, a balancing problem) and reach for the matching tool. A cumulative review is, at bottom, pattern-recognition practice: the question types repeat, and so do the reference-table moves that solve them.</w:t>
      </w:r>
    </w:p>
    <w:bookmarkEnd w:id="10"/>
    <w:bookmarkStart w:id="11" w:name="phenomenon"/>
    <w:p>
      <w:pPr>
        <w:pStyle w:val="Heading3"/>
      </w:pPr>
      <w:r>
        <w:t xml:space="preserve">Phenomenon</w:t>
      </w:r>
    </w:p>
    <w:p>
      <w:pPr>
        <w:pStyle w:val="FirstParagraph"/>
      </w:pPr>
      <w:r>
        <w:t xml:space="preserve">Spread the eleven unit titles across the front board as eleven separate cards:</w:t>
      </w:r>
      <w:r>
        <w:t xml:space="preserve"> </w:t>
      </w:r>
      <w:r>
        <w:rPr>
          <w:i/>
          <w:iCs/>
        </w:rPr>
        <w:t xml:space="preserve">Matter &amp; Measurement, Physical Behavior, Heat &amp; Energy, Gas Laws, Atomic Concepts, The Periodic Table, Bonding, Reactions &amp; Moles, Solutions, Kinetics &amp; Equilibrium, Acids/Bases/Redox.</w:t>
      </w:r>
      <w:r>
        <w:t xml:space="preserve"> </w:t>
      </w:r>
      <w:r>
        <w:t xml:space="preserve">They look like eleven disconnected topics — eleven things to cram. Then ask:</w:t>
      </w:r>
      <w:r>
        <w:t xml:space="preserve"> </w:t>
      </w:r>
      <w:r>
        <w:rPr>
          <w:i/>
          <w:iCs/>
        </w:rPr>
        <w:t xml:space="preserve">“What if these are not eleven topics, but one story told eleven ways?”</w:t>
      </w:r>
      <w:r>
        <w:t xml:space="preserve"> </w:t>
      </w:r>
      <w:r>
        <w:t xml:space="preserve">Take a single sugar cube. In one minute it can be classified (Unit 1: a compound, C₆H₁₂O₆), drawn as bonded atoms (Unit 5–7), assigned a gram formula mass (Unit 8: 180 g/mol), dissolved (Unit 9: a solution), and combusted (Unit 8 + 3: a reaction that conserves mass and releases energy). One sugar cube touches half the course. The</w:t>
      </w:r>
      <w:r>
        <w:t xml:space="preserve"> </w:t>
      </w:r>
      <w:r>
        <w:t xml:space="preserve">“phenomenon”</w:t>
      </w:r>
      <w:r>
        <w:t xml:space="preserve"> </w:t>
      </w:r>
      <w:r>
        <w:t xml:space="preserve">is the realization that the course was never a list — it was a single connected understanding of</w:t>
      </w:r>
      <w:r>
        <w:t xml:space="preserve"> </w:t>
      </w:r>
      <w:r>
        <w:rPr>
          <w:b/>
          <w:bCs/>
        </w:rPr>
        <w:t xml:space="preserve">matter and energy</w:t>
      </w:r>
      <w:r>
        <w:t xml:space="preserve">, and the concept map on</w:t>
      </w:r>
      <w:r>
        <w:t xml:space="preserve"> </w:t>
      </w:r>
      <w:r>
        <w:rPr>
          <w:rStyle w:val="VerbatimChar"/>
        </w:rPr>
        <w:t xml:space="preserve">figures/matter_classification_map.png</w:t>
      </w:r>
      <w:r>
        <w:t xml:space="preserve"> </w:t>
      </w:r>
      <w:r>
        <w:t xml:space="preserve">is the spine that holds it together.</w:t>
      </w:r>
    </w:p>
    <w:bookmarkEnd w:id="11"/>
    <w:bookmarkStart w:id="12" w:name="javalab-labs"/>
    <w:p>
      <w:pPr>
        <w:pStyle w:val="Heading3"/>
      </w:pPr>
      <w:r>
        <w:t xml:space="preserve">Javalab / Labs</w:t>
      </w:r>
    </w:p>
    <w:p>
      <w:pPr>
        <w:pStyle w:val="Compact"/>
        <w:numPr>
          <w:ilvl w:val="0"/>
          <w:numId w:val="1001"/>
        </w:numPr>
      </w:pPr>
      <w:r>
        <w:rPr>
          <w:b/>
          <w:bCs/>
        </w:rPr>
        <w:t xml:space="preserve">Topic-specific review stations (ACTIVE LEARNING):</w:t>
      </w:r>
      <w:r>
        <w:t xml:space="preserve"> </w:t>
      </w:r>
      <w:r>
        <w:t xml:space="preserve">Five timed stations, one card each — (1) Mole/GFM calculations, (2) Reference-table retrieval (Table S density, Table F solubility, Table T formulas), (3) Balancing &amp; conservation of mass, (4) Bonding &amp; classification, (5) Mixed Regents multiple choice. Groups rotate every 4 minutes; each station has an answer envelope for instant self-check.</w:t>
      </w:r>
    </w:p>
    <w:p>
      <w:pPr>
        <w:pStyle w:val="Compact"/>
        <w:numPr>
          <w:ilvl w:val="0"/>
          <w:numId w:val="1001"/>
        </w:numPr>
      </w:pPr>
      <w:r>
        <w:rPr>
          <w:b/>
          <w:bCs/>
        </w:rPr>
        <w:t xml:space="preserve">Reference-table speed drills:</w:t>
      </w:r>
      <w:r>
        <w:t xml:space="preserve"> </w:t>
      </w:r>
      <w:r>
        <w:t xml:space="preserve">Project a value request (</w:t>
      </w:r>
      <w:r>
        <w:t xml:space="preserve">“density of aluminum,”</w:t>
      </w:r>
      <w:r>
        <w:t xml:space="preserve"> </w:t>
      </w:r>
      <w:r>
        <w:t xml:space="preserve">“is AgCl soluble?”</w:t>
      </w:r>
      <w:r>
        <w:t xml:space="preserve">,</w:t>
      </w:r>
      <w:r>
        <w:t xml:space="preserve"> </w:t>
      </w:r>
      <w:r>
        <w:t xml:space="preserve">“the formula for moles”</w:t>
      </w:r>
      <w:r>
        <w:t xml:space="preserve">) and time how fast tables can be opened to the right page. The 2025 NYS Chemistry Reference Tables are the only</w:t>
      </w:r>
      <w:r>
        <w:t xml:space="preserve"> </w:t>
      </w:r>
      <w:r>
        <w:t xml:space="preserve">“open-book”</w:t>
      </w:r>
      <w:r>
        <w:t xml:space="preserve"> </w:t>
      </w:r>
      <w:r>
        <w:t xml:space="preserve">support on the Regents — fluency here is worth several points.</w:t>
      </w:r>
    </w:p>
    <w:p>
      <w:pPr>
        <w:pStyle w:val="Compact"/>
        <w:numPr>
          <w:ilvl w:val="0"/>
          <w:numId w:val="1001"/>
        </w:numPr>
      </w:pPr>
      <w:r>
        <w:rPr>
          <w:b/>
          <w:bCs/>
        </w:rPr>
        <w:t xml:space="preserve">Mock Regents item bank:</w:t>
      </w:r>
      <w:r>
        <w:t xml:space="preserve"> </w:t>
      </w:r>
      <w:r>
        <w:t xml:space="preserve">A short set of past-exam multiple-choice and one constructed-response item, used in Station 5 and as the Exit Ticket model. No external URL required; the district past-exam archive works well, and a Javalab</w:t>
      </w:r>
      <w:r>
        <w:t xml:space="preserve"> </w:t>
      </w:r>
      <w:r>
        <w:t xml:space="preserve">“matter sorting”</w:t>
      </w:r>
      <w:r>
        <w:t xml:space="preserve"> </w:t>
      </w:r>
      <w:r>
        <w:t xml:space="preserve">applet can pre-warm the classification station.</w:t>
      </w:r>
    </w:p>
    <w:bookmarkEnd w:id="12"/>
    <w:bookmarkStart w:id="13" w:name="assessments"/>
    <w:p>
      <w:pPr>
        <w:pStyle w:val="Heading3"/>
      </w:pPr>
      <w:r>
        <w:t xml:space="preserve">Assessments</w:t>
      </w:r>
    </w:p>
    <w:p>
      <w:pPr>
        <w:pStyle w:val="Compact"/>
        <w:numPr>
          <w:ilvl w:val="0"/>
          <w:numId w:val="1002"/>
        </w:numPr>
      </w:pPr>
      <w:r>
        <w:rPr>
          <w:b/>
          <w:bCs/>
        </w:rPr>
        <w:t xml:space="preserve">Practice Regents exam / topic mastery checks</w:t>
      </w:r>
      <w:r>
        <w:t xml:space="preserve"> </w:t>
      </w:r>
      <w:r>
        <w:t xml:space="preserve">(district checkpoint, the class period after this lesson): a half-length mixed Regents form scored against the same rubric students will see in June.</w:t>
      </w:r>
    </w:p>
    <w:p>
      <w:pPr>
        <w:pStyle w:val="Compact"/>
        <w:numPr>
          <w:ilvl w:val="0"/>
          <w:numId w:val="1002"/>
        </w:numPr>
      </w:pPr>
      <w:r>
        <w:rPr>
          <w:b/>
          <w:bCs/>
        </w:rPr>
        <w:t xml:space="preserve">Exit Ticket</w:t>
      </w:r>
      <w:r>
        <w:t xml:space="preserve"> </w:t>
      </w:r>
      <w:r>
        <w:t xml:space="preserve">(Phase 5): three mixed-topic items — a mole calculation, a reference-table retrieval, and a one-sentence Pattern statement connecting two units. Distinct values from the station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Cumulative (HS-PS1 through HS-PS3); SEP-2 (models) and SEP-5 (math/reference tables)</w:t>
            </w:r>
          </w:p>
        </w:tc>
      </w:tr>
      <w:tr>
        <w:tc>
          <w:tcPr/>
          <w:p>
            <w:pPr>
              <w:pStyle w:val="Compact"/>
            </w:pPr>
            <w:r>
              <w:rPr>
                <w:b/>
                <w:bCs/>
              </w:rPr>
              <w:t xml:space="preserve">CCC focus</w:t>
            </w:r>
          </w:p>
        </w:tc>
        <w:tc>
          <w:tcPr/>
          <w:p>
            <w:pPr>
              <w:pStyle w:val="Compact"/>
            </w:pPr>
            <w:r>
              <w:t xml:space="preserve">Patterns — every Regents item belongs to a recognizable</w:t>
            </w:r>
            <w:r>
              <w:t xml:space="preserve"> </w:t>
            </w:r>
            <w:r>
              <w:rPr>
                <w:i/>
                <w:iCs/>
              </w:rPr>
              <w:t xml:space="preserve">type</w:t>
            </w:r>
            <w:r>
              <w:t xml:space="preserve">; recognizing the type tells you which reference-table tool and which prior unit to apply</w:t>
            </w:r>
          </w:p>
        </w:tc>
      </w:tr>
      <w:tr>
        <w:tc>
          <w:tcPr/>
          <w:p>
            <w:pPr>
              <w:pStyle w:val="Compact"/>
            </w:pPr>
            <w:r>
              <w:rPr>
                <w:b/>
                <w:bCs/>
              </w:rPr>
              <w:t xml:space="preserve">Strategy chips</w:t>
            </w:r>
          </w:p>
        </w:tc>
        <w:tc>
          <w:tcPr/>
          <w:p>
            <w:pPr>
              <w:pStyle w:val="Compact"/>
            </w:pPr>
            <w:r>
              <w:t xml:space="preserve">ACTIVE LEARNING (timed rotating review stations with instant self-check) · RESTORATIVE CIRCLE (unit-opening circle: name one chemistry idea that finally</w:t>
            </w:r>
            <w:r>
              <w:t xml:space="preserve"> </w:t>
            </w:r>
            <w:r>
              <w:t xml:space="preserve">“clicked”</w:t>
            </w:r>
            <w:r>
              <w:t xml:space="preserve">)</w:t>
            </w:r>
          </w:p>
        </w:tc>
      </w:tr>
      <w:tr>
        <w:tc>
          <w:tcPr/>
          <w:p>
            <w:pPr>
              <w:pStyle w:val="Compact"/>
            </w:pPr>
            <w:r>
              <w:rPr>
                <w:b/>
                <w:bCs/>
              </w:rPr>
              <w:t xml:space="preserve">Materials</w:t>
            </w:r>
          </w:p>
        </w:tc>
        <w:tc>
          <w:tcPr/>
          <w:p>
            <w:pPr>
              <w:pStyle w:val="Compact"/>
            </w:pPr>
            <w:r>
              <w:t xml:space="preserve">2025 NYS Chemistry Reference Tables (one per student), calculators, five station cards + answer envelopes, timer, the eleven unit-title cards,</w:t>
            </w:r>
            <w:r>
              <w:t xml:space="preserve"> </w:t>
            </w:r>
            <w:r>
              <w:rPr>
                <w:rStyle w:val="VerbatimChar"/>
              </w:rPr>
              <w:t xml:space="preserve">figures/matter_classification_map.png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 this is a paper-and-calculator review. Standard classroom expectations apply. If a hands-on demo sugar cube is used, it is food-safe and not ingested in lab.</w:t>
            </w:r>
          </w:p>
        </w:tc>
      </w:tr>
      <w:tr>
        <w:tc>
          <w:tcPr/>
          <w:p>
            <w:pPr>
              <w:pStyle w:val="Compact"/>
            </w:pPr>
            <w:r>
              <w:rPr>
                <w:b/>
                <w:bCs/>
              </w:rPr>
              <w:t xml:space="preserve">Prior knowledge</w:t>
            </w:r>
          </w:p>
        </w:tc>
        <w:tc>
          <w:tcPr/>
          <w:p>
            <w:pPr>
              <w:pStyle w:val="Compact"/>
            </w:pPr>
            <w:r>
              <w:t xml:space="preserve">The entire course. Students should arrive having seen moles/GFM (Unit 8), classification (Unit 1), bonding (Unit 7), reactions and conservation of mass (Unit 8), solutions (Unit 9), and reference-table basics throughout. This lesson assumes all of it and integrates it.</w:t>
            </w:r>
          </w:p>
        </w:tc>
      </w:tr>
    </w:tbl>
    <w:p>
      <w:pPr>
        <w:pStyle w:val="BodyText"/>
      </w:pPr>
      <w:r>
        <w:rPr>
          <w:b/>
          <w:bCs/>
        </w:rPr>
        <w:t xml:space="preserve">Lesson objectives — students can:</w:t>
      </w:r>
    </w:p>
    <w:p>
      <w:pPr>
        <w:pStyle w:val="Compact"/>
        <w:numPr>
          <w:ilvl w:val="0"/>
          <w:numId w:val="1003"/>
        </w:numPr>
      </w:pPr>
      <w:r>
        <w:t xml:space="preserve">Locate any required value on the 2025 NYS Chemistry Reference Tables in under 30 seconds (density on Table S, solubility on Table F, the mole formula on Table T).</w:t>
      </w:r>
    </w:p>
    <w:p>
      <w:pPr>
        <w:pStyle w:val="Compact"/>
        <w:numPr>
          <w:ilvl w:val="0"/>
          <w:numId w:val="1003"/>
        </w:numPr>
      </w:pPr>
      <w:r>
        <w:t xml:space="preserve">Identify the</w:t>
      </w:r>
      <w:r>
        <w:t xml:space="preserve"> </w:t>
      </w:r>
      <w:r>
        <w:rPr>
          <w:i/>
          <w:iCs/>
        </w:rPr>
        <w:t xml:space="preserve">type</w:t>
      </w:r>
      <w:r>
        <w:t xml:space="preserve"> </w:t>
      </w:r>
      <w:r>
        <w:t xml:space="preserve">of a mixed Regents question and select the matching tool (calculation, table lookup, classification, balancing).</w:t>
      </w:r>
    </w:p>
    <w:p>
      <w:pPr>
        <w:pStyle w:val="Compact"/>
        <w:numPr>
          <w:ilvl w:val="0"/>
          <w:numId w:val="1003"/>
        </w:numPr>
      </w:pPr>
      <w:r>
        <w:t xml:space="preserve">Run a mole/gram-formula-mass calculation and a balancing/conservation check accurately under time pressure.</w:t>
      </w:r>
    </w:p>
    <w:p>
      <w:pPr>
        <w:pStyle w:val="Compact"/>
        <w:numPr>
          <w:ilvl w:val="0"/>
          <w:numId w:val="1003"/>
        </w:numPr>
      </w:pPr>
      <w:r>
        <w:t xml:space="preserve">Explain, using the CCC of Patterns, how at least two course units connect into one understanding of matter and energy.</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 teacher included — answers in one sentence:</w:t>
      </w:r>
      <w:r>
        <w:t xml:space="preserve"> </w:t>
      </w:r>
      <w:r>
        <w:rPr>
          <w:i/>
          <w:iCs/>
        </w:rPr>
        <w:t xml:space="preserve">“Name one chemistry idea from this year that finally clicked for you, and one that still feels shaky.”</w:t>
      </w:r>
      <w:r>
        <w:t xml:space="preserve"> </w:t>
      </w:r>
      <w:r>
        <w:t xml:space="preserve">Go around once; a pass is allowed. This is not graded. It surfaces, in the first three minutes, exactly which topics the class still fears — gold for how you weight the stations — and it tells every student that struggling with a topic is normal and shared, not a personal failure on the eve of the Regents.</w:t>
      </w:r>
    </w:p>
    <w:p>
      <w:pPr>
        <w:pStyle w:val="BodyText"/>
      </w:pPr>
      <w:r>
        <w:t xml:space="preserve">Then post the</w:t>
      </w:r>
      <w:r>
        <w:t xml:space="preserve"> </w:t>
      </w:r>
      <w:r>
        <w:rPr>
          <w:b/>
          <w:bCs/>
        </w:rPr>
        <w:t xml:space="preserve">Do Now</w:t>
      </w:r>
      <w:r>
        <w:t xml:space="preserve">:</w:t>
      </w:r>
    </w:p>
    <w:p>
      <w:pPr>
        <w:pStyle w:val="BlockText"/>
      </w:pPr>
      <w:r>
        <w:rPr>
          <w:i/>
          <w:iCs/>
        </w:rPr>
        <w:t xml:space="preserve">“Eleven unit titles are on the board. In one sentence: pick any two of them and name one thing they have in common. (Hint: every unit is really about the same two things.)”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“Atoms — every unit has atoms in it.”</w:t>
      </w:r>
      <w:r>
        <w:t xml:space="preserve"> </w:t>
      </w:r>
      <w:r>
        <w:t xml:space="preserve">— affirm strongly; that is the spine of the course. Push: atoms</w:t>
      </w:r>
      <w:r>
        <w:t xml:space="preserve"> </w:t>
      </w:r>
      <w:r>
        <w:rPr>
          <w:i/>
          <w:iCs/>
        </w:rPr>
        <w:t xml:space="preserve">and</w:t>
      </w:r>
      <w:r>
        <w:t xml:space="preserve"> </w:t>
      </w:r>
      <w:r>
        <w:t xml:space="preserve">the energy that holds them or rearranges them.</w:t>
      </w:r>
    </w:p>
    <w:p>
      <w:pPr>
        <w:pStyle w:val="Compact"/>
        <w:numPr>
          <w:ilvl w:val="0"/>
          <w:numId w:val="1004"/>
        </w:numPr>
      </w:pPr>
      <w:r>
        <w:t xml:space="preserve">“Bonding and Reactions go together because bonds break in reactions.”</w:t>
      </w:r>
      <w:r>
        <w:t xml:space="preserve"> </w:t>
      </w:r>
      <w:r>
        <w:t xml:space="preserve">— excellent; that is exactly the kind of cross-unit link today is about.</w:t>
      </w:r>
    </w:p>
    <w:p>
      <w:pPr>
        <w:pStyle w:val="Compact"/>
        <w:numPr>
          <w:ilvl w:val="0"/>
          <w:numId w:val="1004"/>
        </w:numPr>
      </w:pPr>
      <w:r>
        <w:t xml:space="preserve">“I don’t see how Gas Laws connects to Acids.”</w:t>
      </w:r>
      <w:r>
        <w:t xml:space="preserve"> </w:t>
      </w:r>
      <w:r>
        <w:t xml:space="preserve">— validate the honesty; promise that by the end of the period the concept map will show the connection (both are about how particles behave — gases by pressure/temperature, acids by H⁺ transfer).</w:t>
      </w:r>
    </w:p>
    <w:bookmarkEnd w:id="16"/>
    <w:bookmarkStart w:id="20" w:name="Xfae08b1b188ea19be1df3b82f2bc9f286a5b444"/>
    <w:p>
      <w:pPr>
        <w:pStyle w:val="Heading3"/>
      </w:pPr>
      <w:r>
        <w:t xml:space="preserve">3–8 min · Phenomenon hook — eleven topics or one story?</w:t>
      </w:r>
    </w:p>
    <w:p>
      <w:pPr>
        <w:pStyle w:val="FirstParagraph"/>
      </w:pPr>
      <w:r>
        <w:rPr>
          <w:b/>
          <w:bCs/>
        </w:rPr>
        <w:t xml:space="preserve">Teacher actions.</w:t>
      </w:r>
      <w:r>
        <w:t xml:space="preserve"> </w:t>
      </w:r>
      <w:r>
        <w:t xml:space="preserve">Hold up a single sugar cube (or its image). Walk it through the course out loud, fast, tagging each unit as you go.</w:t>
      </w:r>
    </w:p>
    <w:p>
      <w:pPr>
        <w:pStyle w:val="BodyText"/>
      </w:pPr>
      <w:r>
        <w:rPr>
          <w:b/>
          <w:bCs/>
        </w:rPr>
        <w:t xml:space="preserve">Sample teacher language:</w:t>
      </w:r>
    </w:p>
    <w:p>
      <w:pPr>
        <w:pStyle w:val="BlockText"/>
      </w:pPr>
      <w:r>
        <w:t xml:space="preserve">“Watch one sugar cube travel the whole course. Unit 1 — I classify it: it’s a pure substance, a compound, formula C₆H₁₂O₆. Units 5 through 7 — I can draw its atoms bonded together. Unit 8 — I can find its gram formula mass: six carbons, twelve hydrogens, six oxygens, 180 grams per mole. Unit 9 — I drop it in water and it dissolves; now it’s a solution. Unit 8 again — I burn it and it reacts with oxygen, and every single atom is still there afterward, just rearranged, and energy comes out. One sugar cube. Six units. So I’ll ask you what I asked at the start: eleven topics, or one story told eleven ways?”</w:t>
      </w:r>
    </w:p>
    <w:p>
      <w:pPr>
        <w:pStyle w:val="FirstParagraph"/>
      </w:pPr>
      <w:r>
        <w:t xml:space="preserve">Project the concept map:</w:t>
      </w:r>
    </w:p>
    <w:p>
      <w:pPr>
        <w:pStyle w:val="CaptionedFigure"/>
      </w:pPr>
      <w:r>
        <w:drawing>
          <wp:inline>
            <wp:extent cx="5285232" cy="3419855"/>
            <wp:effectExtent b="0" l="0" r="0" t="0"/>
            <wp:docPr descr="Course concept map: a classification tree of matter. ‘MATTER’ at the top branches into ‘Pure Substances’ and ‘Mixtures’. Pure Substances branches into ‘Elements’ (one atom type) and ‘Compounds’ (two or more atoms bonded). Mixtures branches into ‘Homogeneous’ (uniform, e.g. saltwater) and ‘Heterogeneous’ (non-uniform, e.g. trail mix). This single tree is the spine that connects every unit of the course." title="" id="18" name="Picture"/>
            <a:graphic>
              <a:graphicData uri="http://schemas.openxmlformats.org/drawingml/2006/picture">
                <pic:pic>
                  <pic:nvPicPr>
                    <pic:cNvPr descr="figures/matter_classification_map.png" id="19"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w:t>
      </w:r>
      <w:r>
        <w:t xml:space="preserve"> </w:t>
      </w:r>
      <w:r>
        <w:t xml:space="preserve">‘MATTER’</w:t>
      </w:r>
      <w:r>
        <w:t xml:space="preserve"> </w:t>
      </w:r>
      <w:r>
        <w:t xml:space="preserve">at the top branches into</w:t>
      </w:r>
      <w:r>
        <w:t xml:space="preserve"> </w:t>
      </w:r>
      <w:r>
        <w:t xml:space="preserve">‘Pure Substances’</w:t>
      </w:r>
      <w:r>
        <w:t xml:space="preserve"> </w:t>
      </w:r>
      <w:r>
        <w:t xml:space="preserve">and</w:t>
      </w:r>
      <w:r>
        <w:t xml:space="preserve"> </w:t>
      </w:r>
      <w:r>
        <w:t xml:space="preserve">‘Mixtures’</w:t>
      </w:r>
      <w:r>
        <w:t xml:space="preserve">. Pure Substances branches into</w:t>
      </w:r>
      <w:r>
        <w:t xml:space="preserve"> </w:t>
      </w:r>
      <w:r>
        <w:t xml:space="preserve">‘Elements’</w:t>
      </w:r>
      <w:r>
        <w:t xml:space="preserve"> </w:t>
      </w:r>
      <w:r>
        <w:t xml:space="preserve">(one atom type) and</w:t>
      </w:r>
      <w:r>
        <w:t xml:space="preserve"> </w:t>
      </w:r>
      <w:r>
        <w:t xml:space="preserve">‘Compounds’</w:t>
      </w:r>
      <w:r>
        <w:t xml:space="preserve"> </w:t>
      </w:r>
      <w:r>
        <w:t xml:space="preserve">(two or more atoms bonded). Mixtures branches into</w:t>
      </w:r>
      <w:r>
        <w:t xml:space="preserve"> </w:t>
      </w:r>
      <w:r>
        <w:t xml:space="preserve">‘Homogeneous’</w:t>
      </w:r>
      <w:r>
        <w:t xml:space="preserve"> </w:t>
      </w:r>
      <w:r>
        <w:t xml:space="preserve">(uniform, e.g. saltwater) and</w:t>
      </w:r>
      <w:r>
        <w:t xml:space="preserve"> </w:t>
      </w:r>
      <w:r>
        <w:t xml:space="preserve">‘Heterogeneous’</w:t>
      </w:r>
      <w:r>
        <w:t xml:space="preserve"> </w:t>
      </w:r>
      <w:r>
        <w:t xml:space="preserve">(non-uniform, e.g. trail mix). This single tree is the spine that connects every unit of the course.</w:t>
      </w:r>
    </w:p>
    <w:p>
      <w:pPr>
        <w:pStyle w:val="BodyText"/>
      </w:pPr>
      <w:r>
        <w:rPr>
          <w:b/>
          <w:bCs/>
        </w:rPr>
        <w:t xml:space="preserve">Anticipated student responses:</w:t>
      </w:r>
    </w:p>
    <w:p>
      <w:pPr>
        <w:pStyle w:val="Compact"/>
        <w:numPr>
          <w:ilvl w:val="0"/>
          <w:numId w:val="1005"/>
        </w:numPr>
      </w:pPr>
      <w:r>
        <w:t xml:space="preserve">“So everything is just matter being classified and changed.”</w:t>
      </w:r>
      <w:r>
        <w:t xml:space="preserve"> </w:t>
      </w:r>
      <w:r>
        <w:t xml:space="preserve">— yes; that is the whole course in one sentence.</w:t>
      </w:r>
    </w:p>
    <w:p>
      <w:pPr>
        <w:pStyle w:val="Compact"/>
        <w:numPr>
          <w:ilvl w:val="0"/>
          <w:numId w:val="1005"/>
        </w:numPr>
      </w:pPr>
      <w:r>
        <w:t xml:space="preserve">“Where does energy come in?”</w:t>
      </w:r>
      <w:r>
        <w:t xml:space="preserve"> </w:t>
      </w:r>
      <w:r>
        <w:t xml:space="preserve">— great question; energy is what drives the changes (heating curves, reaction energy, bond breaking). Matter and energy are the two threads.</w:t>
      </w:r>
    </w:p>
    <w:p>
      <w:pPr>
        <w:pStyle w:val="Compact"/>
        <w:numPr>
          <w:ilvl w:val="0"/>
          <w:numId w:val="1005"/>
        </w:numPr>
      </w:pPr>
      <w:r>
        <w:t xml:space="preserve">“This makes the Regents feel smaller.”</w:t>
      </w:r>
      <w:r>
        <w:t xml:space="preserve"> </w:t>
      </w:r>
      <w:r>
        <w:t xml:space="preserve">— exactly the goal: fewer big ideas, more connections.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all the units of chemistry connect into one understanding of matter and energy?</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concept map or the sugar-cube walk-through. Then:</w:t>
      </w:r>
    </w:p>
    <w:p>
      <w:pPr>
        <w:pStyle w:val="BlockText"/>
      </w:pPr>
      <w:r>
        <w:t xml:space="preserve">“Turn to your partner: on the Regents, the same</w:t>
      </w:r>
      <w:r>
        <w:t xml:space="preserve"> </w:t>
      </w:r>
      <w:r>
        <w:rPr>
          <w:i/>
          <w:iCs/>
        </w:rPr>
        <w:t xml:space="preserve">types</w:t>
      </w:r>
      <w:r>
        <w:t xml:space="preserve"> </w:t>
      </w:r>
      <w:r>
        <w:t xml:space="preserve">of questions come back every year — a mole problem, a</w:t>
      </w:r>
      <w:r>
        <w:t xml:space="preserve"> </w:t>
      </w:r>
      <w:r>
        <w:t xml:space="preserve">‘use this reference table’</w:t>
      </w:r>
      <w:r>
        <w:t xml:space="preserve"> </w:t>
      </w:r>
      <w:r>
        <w:t xml:space="preserve">problem, a balancing problem. If you could recognize the</w:t>
      </w:r>
      <w:r>
        <w:t xml:space="preserve"> </w:t>
      </w:r>
      <w:r>
        <w:rPr>
          <w:i/>
          <w:iCs/>
        </w:rPr>
        <w:t xml:space="preserve">type</w:t>
      </w:r>
      <w:r>
        <w:t xml:space="preserve"> </w:t>
      </w:r>
      <w:r>
        <w:t xml:space="preserve">of a question in the first five seconds, what would that do for your speed?”</w:t>
      </w:r>
    </w:p>
    <w:p>
      <w:pPr>
        <w:pStyle w:val="FirstParagraph"/>
      </w:pPr>
      <w:r>
        <w:t xml:space="preserve">Target insight (leave open if no one lands it yet): recognizing the</w:t>
      </w:r>
      <w:r>
        <w:t xml:space="preserve"> </w:t>
      </w:r>
      <w:r>
        <w:rPr>
          <w:i/>
          <w:iCs/>
        </w:rPr>
        <w:t xml:space="preserve">pattern</w:t>
      </w:r>
      <w:r>
        <w:t xml:space="preserve"> </w:t>
      </w:r>
      <w:r>
        <w:t xml:space="preserve">of a question tells you which tool to grab before you even finish reading it. That is the meta-skill of the day, and it is named</w:t>
      </w:r>
      <w:r>
        <w:t xml:space="preserve"> </w:t>
      </w:r>
      <w:r>
        <w:rPr>
          <w:b/>
          <w:bCs/>
        </w:rPr>
        <w:t xml:space="preserve">Patterns</w:t>
      </w:r>
      <w:r>
        <w:t xml:space="preserve"> </w:t>
      </w:r>
      <w:r>
        <w:t xml:space="preserve">in the CCC.</w:t>
      </w:r>
    </w:p>
    <w:p>
      <w:r>
        <w:pict>
          <v:rect style="width:0;height:1.5pt" o:hralign="center" o:hrstd="t" o:hr="t"/>
        </w:pict>
      </w:r>
    </w:p>
    <w:bookmarkEnd w:id="21"/>
    <w:bookmarkEnd w:id="22"/>
    <w:bookmarkStart w:id="28" w:name="phase-2-explore-10-30-min"/>
    <w:p>
      <w:pPr>
        <w:pStyle w:val="Heading2"/>
      </w:pPr>
      <w:r>
        <w:t xml:space="preserve">Phase 2 · Explore</w:t>
      </w:r>
      <w:r>
        <w:t xml:space="preserve"> </w:t>
      </w:r>
      <w:r>
        <w:rPr>
          <w:i/>
          <w:iCs/>
        </w:rPr>
        <w:t xml:space="preserve">(10 – 30 min)</w:t>
      </w:r>
    </w:p>
    <w:bookmarkStart w:id="23" w:name="min-initial-model-silent-individual"/>
    <w:p>
      <w:pPr>
        <w:pStyle w:val="Heading3"/>
      </w:pPr>
      <w:r>
        <w:t xml:space="preserve">10–13 min · Initial Model (silent / individual)</w:t>
      </w:r>
    </w:p>
    <w:p>
      <w:pPr>
        <w:pStyle w:val="FirstParagraph"/>
      </w:pPr>
      <w:r>
        <w:t xml:space="preserve">Prompt on the board:</w:t>
      </w:r>
    </w:p>
    <w:p>
      <w:pPr>
        <w:pStyle w:val="BlockText"/>
      </w:pPr>
      <w:r>
        <w:rPr>
          <w:i/>
          <w:iCs/>
        </w:rPr>
        <w:t xml:space="preserve">“Before we name any test-taking strategy: on your own, sketch a quick concept map. Put MATTER in the middle. Draw at least four units of this course branching off it, and on each branch write one thing you learned in that unit. You have three minutes — speed over neatness.”</w:t>
      </w:r>
    </w:p>
    <w:p>
      <w:pPr>
        <w:pStyle w:val="FirstParagraph"/>
      </w:pPr>
      <w:r>
        <w:t xml:space="preserve">Students draw silently. This surfaces what each student already sees as connected versus isolated. Circulate and note which units students leave off entirely — those are your weak spots to target at the stations.</w:t>
      </w:r>
    </w:p>
    <w:bookmarkEnd w:id="23"/>
    <w:bookmarkStart w:id="26" w:name="Xbcf895c27fcbf37d5bacd821659a496474dc4da"/>
    <w:p>
      <w:pPr>
        <w:pStyle w:val="Heading3"/>
      </w:pPr>
      <w:r>
        <w:t xml:space="preserve">13–28 min · Investigation — ACTIVE LEARNING review stations (rotate every 4 min)</w:t>
      </w:r>
    </w:p>
    <w:p>
      <w:pPr>
        <w:pStyle w:val="FirstParagraph"/>
      </w:pPr>
      <w:r>
        <w:t xml:space="preserve">Hand out the worksheet. Students rotate through five timed stations in groups of three or four;</w:t>
      </w:r>
      <w:r>
        <w:t xml:space="preserve"> </w:t>
      </w:r>
      <w:r>
        <w:rPr>
          <w:b/>
          <w:bCs/>
        </w:rPr>
        <w:t xml:space="preserve">4 minutes per station, 15 minutes total</w:t>
      </w:r>
      <w:r>
        <w:t xml:space="preserve"> </w:t>
      </w:r>
      <w:r>
        <w:t xml:space="preserve">including transitions. Each station has an answer envelope for instant self-check — students score themselves before rotating, so misconceptions die immediately instead of compounding.</w:t>
      </w:r>
    </w:p>
    <w:p>
      <w:pPr>
        <w:pStyle w:val="CaptionedFigure"/>
      </w:pPr>
      <w:r>
        <w:drawing>
          <wp:inline>
            <wp:extent cx="5285232" cy="3419855"/>
            <wp:effectExtent b="0" l="0" r="0" t="0"/>
            <wp:docPr descr="Course concept map: a classification tree of matter, used here as the Station 4 sorting anchor — MATTER branching to Pure Substances (Elements, Compounds) and Mixtures (Homogeneous, Heterogeneous)." title="" id="24" name="Picture"/>
            <a:graphic>
              <a:graphicData uri="http://schemas.openxmlformats.org/drawingml/2006/picture">
                <pic:pic>
                  <pic:nvPicPr>
                    <pic:cNvPr descr="figures/matter_classification_map.png" id="25"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used here as the Station 4 sorting anchor — MATTER branching to Pure Substances (Elements, Compounds) and Mixtures (Homogeneous, Heterogeneous).</w:t>
      </w:r>
    </w:p>
    <w:p>
      <w:pPr>
        <w:pStyle w:val="BodyText"/>
      </w:pPr>
      <w:r>
        <w:rPr>
          <w:b/>
          <w:bCs/>
        </w:rPr>
        <w:t xml:space="preserve">Station 1 — Moles &amp; Gram Formula Mass.</w:t>
      </w:r>
      <w:r>
        <w:t xml:space="preserve"> </w:t>
      </w:r>
      <w:r>
        <w:t xml:space="preserve">Two problems:</w:t>
      </w:r>
    </w:p>
    <w:p>
      <w:pPr>
        <w:pStyle w:val="Compact"/>
        <w:numPr>
          <w:ilvl w:val="0"/>
          <w:numId w:val="1006"/>
        </w:numPr>
      </w:pPr>
      <w:r>
        <w:rPr>
          <w:i/>
          <w:iCs/>
        </w:rPr>
        <w:t xml:space="preserve">GFM of CO₂?</w:t>
      </w:r>
      <w:r>
        <w:t xml:space="preserve"> </w:t>
      </w:r>
      <w:r>
        <w:t xml:space="preserve">→ C: 12.0 × 1 = 12.0; O: 16.0 × 2 = 32.0;</w:t>
      </w:r>
      <w:r>
        <w:t xml:space="preserve"> </w:t>
      </w:r>
      <w:r>
        <w:rPr>
          <w:b/>
          <w:bCs/>
        </w:rPr>
        <w:t xml:space="preserve">total = 44.0 g/mol.</w:t>
      </w:r>
    </w:p>
    <w:p>
      <w:pPr>
        <w:pStyle w:val="Compact"/>
        <w:numPr>
          <w:ilvl w:val="0"/>
          <w:numId w:val="1006"/>
        </w:numPr>
      </w:pPr>
      <w:r>
        <w:rPr>
          <w:i/>
          <w:iCs/>
        </w:rPr>
        <w:t xml:space="preserve">How many moles are in 88 g of CO₂?</w:t>
      </w:r>
      <w:r>
        <w:t xml:space="preserve"> </w:t>
      </w:r>
      <w:r>
        <w:t xml:space="preserve">→ moles = mass ÷ GFM = 88 ÷ 44 =</w:t>
      </w:r>
      <w:r>
        <w:t xml:space="preserve"> </w:t>
      </w:r>
      <w:r>
        <w:rPr>
          <w:b/>
          <w:bCs/>
        </w:rPr>
        <w:t xml:space="preserve">2.0 mol.</w:t>
      </w:r>
      <w:r>
        <w:t xml:space="preserve"> </w:t>
      </w:r>
      <w:r>
        <w:t xml:space="preserve">(Table T: number of moles = given mass ÷ gram-formula-mass.)</w:t>
      </w:r>
    </w:p>
    <w:p>
      <w:pPr>
        <w:pStyle w:val="FirstParagraph"/>
      </w:pPr>
      <w:r>
        <w:rPr>
          <w:b/>
          <w:bCs/>
        </w:rPr>
        <w:t xml:space="preserve">Station 2 — Reference-table retrieval.</w:t>
      </w:r>
      <w:r>
        <w:t xml:space="preserve"> </w:t>
      </w:r>
      <w:r>
        <w:t xml:space="preserve">Three rapid lookups:</w:t>
      </w:r>
    </w:p>
    <w:p>
      <w:pPr>
        <w:pStyle w:val="Compact"/>
        <w:numPr>
          <w:ilvl w:val="0"/>
          <w:numId w:val="1007"/>
        </w:numPr>
      </w:pPr>
      <w:r>
        <w:rPr>
          <w:i/>
          <w:iCs/>
        </w:rPr>
        <w:t xml:space="preserve">Density of aluminum (Table S)?</w:t>
      </w:r>
      <w:r>
        <w:t xml:space="preserve"> </w:t>
      </w:r>
      <w:r>
        <w:t xml:space="preserve">→</w:t>
      </w:r>
      <w:r>
        <w:t xml:space="preserve"> </w:t>
      </w:r>
      <w:r>
        <w:rPr>
          <w:b/>
          <w:bCs/>
        </w:rPr>
        <w:t xml:space="preserve">2.70 g/cm³.</w:t>
      </w:r>
    </w:p>
    <w:p>
      <w:pPr>
        <w:pStyle w:val="Compact"/>
        <w:numPr>
          <w:ilvl w:val="0"/>
          <w:numId w:val="1007"/>
        </w:numPr>
      </w:pPr>
      <w:r>
        <w:rPr>
          <w:i/>
          <w:iCs/>
        </w:rPr>
        <w:t xml:space="preserve">Is silver chloride (AgCl) soluble or insoluble in water (Table F)?</w:t>
      </w:r>
      <w:r>
        <w:t xml:space="preserve"> </w:t>
      </w:r>
      <w:r>
        <w:t xml:space="preserve">→</w:t>
      </w:r>
      <w:r>
        <w:t xml:space="preserve"> </w:t>
      </w:r>
      <w:r>
        <w:rPr>
          <w:b/>
          <w:bCs/>
        </w:rPr>
        <w:t xml:space="preserve">insoluble</w:t>
      </w:r>
      <w:r>
        <w:t xml:space="preserve"> </w:t>
      </w:r>
      <w:r>
        <w:t xml:space="preserve">(the</w:t>
      </w:r>
      <w:r>
        <w:t xml:space="preserve"> </w:t>
      </w:r>
      <w:r>
        <w:t xml:space="preserve">“halides… except Ag⁺…”</w:t>
      </w:r>
      <w:r>
        <w:t xml:space="preserve"> </w:t>
      </w:r>
      <w:r>
        <w:t xml:space="preserve">exception).</w:t>
      </w:r>
    </w:p>
    <w:p>
      <w:pPr>
        <w:pStyle w:val="Compact"/>
        <w:numPr>
          <w:ilvl w:val="0"/>
          <w:numId w:val="1007"/>
        </w:numPr>
      </w:pPr>
      <w:r>
        <w:rPr>
          <w:i/>
          <w:iCs/>
        </w:rPr>
        <w:t xml:space="preserve">Which table gives you the formula for number of moles?</w:t>
      </w:r>
      <w:r>
        <w:t xml:space="preserve"> </w:t>
      </w:r>
      <w:r>
        <w:t xml:space="preserve">→</w:t>
      </w:r>
      <w:r>
        <w:t xml:space="preserve"> </w:t>
      </w:r>
      <w:r>
        <w:rPr>
          <w:b/>
          <w:bCs/>
        </w:rPr>
        <w:t xml:space="preserve">Table T.</w:t>
      </w:r>
    </w:p>
    <w:p>
      <w:pPr>
        <w:pStyle w:val="FirstParagraph"/>
      </w:pPr>
      <w:r>
        <w:rPr>
          <w:b/>
          <w:bCs/>
        </w:rPr>
        <w:t xml:space="preserve">Station 3 — Balancing &amp; conservation of mass.</w:t>
      </w:r>
      <w:r>
        <w:t xml:space="preserve"> </w:t>
      </w:r>
      <w:r>
        <w:t xml:space="preserve">Balance and confirm mass is conserved:</w:t>
      </w:r>
    </w:p>
    <w:p>
      <w:pPr>
        <w:pStyle w:val="Compact"/>
        <w:numPr>
          <w:ilvl w:val="0"/>
          <w:numId w:val="1008"/>
        </w:numPr>
      </w:pPr>
      <w:r>
        <w:rPr>
          <w:i/>
          <w:iCs/>
        </w:rPr>
        <w:t xml:space="preserve">__ H₂ + __ O₂ → __ H₂O</w:t>
      </w:r>
      <w:r>
        <w:t xml:space="preserve"> </w:t>
      </w:r>
      <w:r>
        <w:t xml:space="preserve">→</w:t>
      </w:r>
      <w:r>
        <w:t xml:space="preserve"> </w:t>
      </w:r>
      <w:r>
        <w:rPr>
          <w:b/>
          <w:bCs/>
        </w:rPr>
        <w:t xml:space="preserve">2 H₂ + 1 O₂ → 2 H₂O.</w:t>
      </w:r>
      <w:r>
        <w:t xml:space="preserve"> </w:t>
      </w:r>
      <w:r>
        <w:t xml:space="preserve">Check: 4 H and 2 O on each side. Mass in = mass out (Law of Conservation of Mass — atoms are only rearranged).</w:t>
      </w:r>
    </w:p>
    <w:p>
      <w:pPr>
        <w:pStyle w:val="FirstParagraph"/>
      </w:pPr>
      <w:r>
        <w:rPr>
          <w:b/>
          <w:bCs/>
        </w:rPr>
        <w:t xml:space="preserve">Station 4 — Bonding &amp; classification.</w:t>
      </w:r>
      <w:r>
        <w:t xml:space="preserve"> </w:t>
      </w:r>
      <w:r>
        <w:t xml:space="preserve">Using the concept map figure:</w:t>
      </w:r>
    </w:p>
    <w:p>
      <w:pPr>
        <w:pStyle w:val="Compact"/>
        <w:numPr>
          <w:ilvl w:val="0"/>
          <w:numId w:val="1009"/>
        </w:numPr>
      </w:pPr>
      <w:r>
        <w:rPr>
          <w:i/>
          <w:iCs/>
        </w:rPr>
        <w:t xml:space="preserve">Classify: O₂, NaCl, air, sand-in-water.</w:t>
      </w:r>
      <w:r>
        <w:t xml:space="preserve"> </w:t>
      </w:r>
      <w:r>
        <w:t xml:space="preserve">→ O₂ = element; NaCl = compound; air = homogeneous mixture; sand-in-water = heterogeneous mixture.</w:t>
      </w:r>
    </w:p>
    <w:p>
      <w:pPr>
        <w:pStyle w:val="Compact"/>
        <w:numPr>
          <w:ilvl w:val="0"/>
          <w:numId w:val="1009"/>
        </w:numPr>
      </w:pPr>
      <w:r>
        <w:rPr>
          <w:i/>
          <w:iCs/>
        </w:rPr>
        <w:t xml:space="preserve">Is NaCl ionic or covalent? Why?</w:t>
      </w:r>
      <w:r>
        <w:t xml:space="preserve"> </w:t>
      </w:r>
      <w:r>
        <w:t xml:space="preserve">→</w:t>
      </w:r>
      <w:r>
        <w:t xml:space="preserve"> </w:t>
      </w:r>
      <w:r>
        <w:rPr>
          <w:b/>
          <w:bCs/>
        </w:rPr>
        <w:t xml:space="preserve">ionic</w:t>
      </w:r>
      <w:r>
        <w:t xml:space="preserve"> </w:t>
      </w:r>
      <w:r>
        <w:t xml:space="preserve">— a metal (Na) bonds to a nonmetal (Cl); electrons are transferred.</w:t>
      </w:r>
    </w:p>
    <w:p>
      <w:pPr>
        <w:pStyle w:val="FirstParagraph"/>
      </w:pPr>
      <w:r>
        <w:rPr>
          <w:b/>
          <w:bCs/>
        </w:rPr>
        <w:t xml:space="preserve">Station 5 — Mixed Regents multiple choice.</w:t>
      </w:r>
      <w:r>
        <w:t xml:space="preserve"> </w:t>
      </w:r>
      <w:r>
        <w:t xml:space="preserve">Two released-style items (answers in the envelope, never on the card):</w:t>
      </w:r>
    </w:p>
    <w:p>
      <w:pPr>
        <w:pStyle w:val="Compact"/>
        <w:numPr>
          <w:ilvl w:val="0"/>
          <w:numId w:val="1010"/>
        </w:numPr>
      </w:pPr>
      <w:r>
        <w:rPr>
          <w:i/>
          <w:iCs/>
        </w:rPr>
        <w:t xml:space="preserve">The gram formula mass of CaCO₃ is closest to:</w:t>
      </w:r>
      <w:r>
        <w:t xml:space="preserve"> </w:t>
      </w:r>
      <w:r>
        <w:t xml:space="preserve">(1) 56 g/mol (2) 68 g/mol (3) 100 g/mol (4) 116 g/mol</w:t>
      </w:r>
    </w:p>
    <w:p>
      <w:pPr>
        <w:pStyle w:val="Compact"/>
        <w:numPr>
          <w:ilvl w:val="0"/>
          <w:numId w:val="1010"/>
        </w:numPr>
      </w:pPr>
      <w:r>
        <w:rPr>
          <w:i/>
          <w:iCs/>
        </w:rPr>
        <w:t xml:space="preserve">Which is a chemical change?</w:t>
      </w:r>
      <w:r>
        <w:t xml:space="preserve"> </w:t>
      </w:r>
      <w:r>
        <w:t xml:space="preserve">(1) melting ice (2) dissolving salt (3) burning propane (4) boiling water</w:t>
      </w:r>
    </w:p>
    <w:p>
      <w:pPr>
        <w:pStyle w:val="FirstParagraph"/>
      </w:pPr>
      <w:r>
        <w:rPr>
          <w:b/>
          <w:bCs/>
        </w:rPr>
        <w:t xml:space="preserve">Teacher facilitation language (circulate):</w:t>
      </w:r>
    </w:p>
    <w:p>
      <w:pPr>
        <w:pStyle w:val="BlockText"/>
      </w:pPr>
      <w:r>
        <w:t xml:space="preserve">“At every station, before you write anything, say out loud to your group: what</w:t>
      </w:r>
      <w:r>
        <w:t xml:space="preserve"> </w:t>
      </w:r>
      <w:r>
        <w:rPr>
          <w:i/>
          <w:iCs/>
        </w:rPr>
        <w:t xml:space="preserve">type</w:t>
      </w:r>
      <w:r>
        <w:t xml:space="preserve"> </w:t>
      </w:r>
      <w:r>
        <w:t xml:space="preserve">of question is this? A calculation? A lookup? A classification? Naming the type first is half the points.”</w:t>
      </w:r>
    </w:p>
    <w:p>
      <w:pPr>
        <w:pStyle w:val="BlockText"/>
      </w:pPr>
      <w:r>
        <w:t xml:space="preserve">“Self-check before you rotate. If your group missed it, do not move on until you know</w:t>
      </w:r>
      <w:r>
        <w:t xml:space="preserve"> </w:t>
      </w:r>
      <w:r>
        <w:rPr>
          <w:i/>
          <w:iCs/>
        </w:rPr>
        <w:t xml:space="preserve">why</w:t>
      </w:r>
      <w:r>
        <w:t xml:space="preserve"> </w:t>
      </w:r>
      <w:r>
        <w:t xml:space="preserve">— that is the whole point of the envelope.”</w:t>
      </w:r>
    </w:p>
    <w:p>
      <w:pPr>
        <w:pStyle w:val="FirstParagraph"/>
      </w:pPr>
      <w:r>
        <w:rPr>
          <w:b/>
          <w:bCs/>
        </w:rPr>
        <w:t xml:space="preserve">Anticipated student responses during stations:</w:t>
      </w:r>
    </w:p>
    <w:p>
      <w:pPr>
        <w:pStyle w:val="Compact"/>
        <w:numPr>
          <w:ilvl w:val="0"/>
          <w:numId w:val="1011"/>
        </w:numPr>
      </w:pPr>
      <w:r>
        <w:t xml:space="preserve">Station 1:</w:t>
      </w:r>
      <w:r>
        <w:t xml:space="preserve"> </w:t>
      </w:r>
      <w:r>
        <w:t xml:space="preserve">“I got 2 moles for the CO₂ — is that right?”</w:t>
      </w:r>
      <w:r>
        <w:t xml:space="preserve"> </w:t>
      </w:r>
      <w:r>
        <w:t xml:space="preserve">— yes; 88 ÷ 44 = 2.0. Confirm they used Table T’s formula and the GFM they just calculated.</w:t>
      </w:r>
    </w:p>
    <w:p>
      <w:pPr>
        <w:pStyle w:val="Compact"/>
        <w:numPr>
          <w:ilvl w:val="0"/>
          <w:numId w:val="1011"/>
        </w:numPr>
      </w:pPr>
      <w:r>
        <w:t xml:space="preserve">Station 2:</w:t>
      </w:r>
      <w:r>
        <w:t xml:space="preserve"> </w:t>
      </w:r>
      <w:r>
        <w:t xml:space="preserve">“I can’t find solubility fast enough.”</w:t>
      </w:r>
      <w:r>
        <w:t xml:space="preserve"> </w:t>
      </w:r>
      <w:r>
        <w:t xml:space="preserve">— coach the muscle memory: Table F = solubility, Table S = properties/density, Table T = formulas. Drill the table</w:t>
      </w:r>
      <w:r>
        <w:t xml:space="preserve"> </w:t>
      </w:r>
      <w:r>
        <w:rPr>
          <w:i/>
          <w:iCs/>
        </w:rPr>
        <w:t xml:space="preserve">names</w:t>
      </w:r>
      <w:r>
        <w:t xml:space="preserve"> </w:t>
      </w:r>
      <w:r>
        <w:t xml:space="preserve">until the page-flip is automatic.</w:t>
      </w:r>
    </w:p>
    <w:p>
      <w:pPr>
        <w:pStyle w:val="Compact"/>
        <w:numPr>
          <w:ilvl w:val="0"/>
          <w:numId w:val="1011"/>
        </w:numPr>
      </w:pPr>
      <w:r>
        <w:t xml:space="preserve">Station 3:</w:t>
      </w:r>
      <w:r>
        <w:t xml:space="preserve"> </w:t>
      </w:r>
      <w:r>
        <w:t xml:space="preserve">“Why can’t I just put a 1.5 in front of O₂?”</w:t>
      </w:r>
      <w:r>
        <w:t xml:space="preserve"> </w:t>
      </w:r>
      <w:r>
        <w:t xml:space="preserve">— Regents balancing uses whole-number coefficients; multiply through to clear the fraction (2 H₂ + 1 O₂ → 2 H₂O).</w:t>
      </w:r>
    </w:p>
    <w:p>
      <w:pPr>
        <w:pStyle w:val="Compact"/>
        <w:numPr>
          <w:ilvl w:val="0"/>
          <w:numId w:val="1011"/>
        </w:numPr>
      </w:pPr>
      <w:r>
        <w:t xml:space="preserve">Station 5:</w:t>
      </w:r>
      <w:r>
        <w:t xml:space="preserve"> </w:t>
      </w:r>
      <w:r>
        <w:t xml:space="preserve">“Is dissolving salt a chemical change?”</w:t>
      </w:r>
      <w:r>
        <w:t xml:space="preserve"> </w:t>
      </w:r>
      <w:r>
        <w:t xml:space="preserve">— no; dissolving is physical (the NaCl can be recovered by evaporation). Burning propane is the chemical change — new substances form.</w:t>
      </w:r>
    </w:p>
    <w:bookmarkEnd w:id="26"/>
    <w:bookmarkStart w:id="27" w:name="min-reconnect-surface-the-pattern"/>
    <w:p>
      <w:pPr>
        <w:pStyle w:val="Heading3"/>
      </w:pPr>
      <w:r>
        <w:t xml:space="preserve">28–30 min · Reconnect + surface the pattern</w:t>
      </w:r>
    </w:p>
    <w:p>
      <w:pPr>
        <w:pStyle w:val="FirstParagraph"/>
      </w:pPr>
      <w:r>
        <w:t xml:space="preserve">Bring groups back. Ask:</w:t>
      </w:r>
      <w:r>
        <w:t xml:space="preserve"> </w:t>
      </w:r>
      <w:r>
        <w:rPr>
          <w:i/>
          <w:iCs/>
        </w:rPr>
        <w:t xml:space="preserve">“Across all five stations, what did every single question have in common before you could answer it?”</w:t>
      </w:r>
    </w:p>
    <w:p>
      <w:pPr>
        <w:pStyle w:val="BodyText"/>
      </w:pPr>
      <w:r>
        <w:t xml:space="preserve">Surface the key idea:</w:t>
      </w:r>
      <w:r>
        <w:t xml:space="preserve"> </w:t>
      </w:r>
      <w:r>
        <w:rPr>
          <w:b/>
          <w:bCs/>
        </w:rPr>
        <w:t xml:space="preserve">every question announced its type.</w:t>
      </w:r>
      <w:r>
        <w:t xml:space="preserve"> </w:t>
      </w:r>
      <w:r>
        <w:t xml:space="preserve">Mole problems want a GFM and Table T. Lookup problems want the right table. Classification problems want the concept-map tree. Balancing problems want conservation of mass. The reference tables and the concept map are the same small toolkit reused across all eleven units.</w:t>
      </w:r>
    </w:p>
    <w:p>
      <w:r>
        <w:pict>
          <v:rect style="width:0;height:1.5pt" o:hralign="center" o:hrstd="t" o:hr="t"/>
        </w:pict>
      </w:r>
    </w:p>
    <w:bookmarkEnd w:id="27"/>
    <w:bookmarkEnd w:id="28"/>
    <w:bookmarkStart w:id="31" w:name="phase-3-explain-30-36-min"/>
    <w:p>
      <w:pPr>
        <w:pStyle w:val="Heading2"/>
      </w:pPr>
      <w:r>
        <w:t xml:space="preserve">Phase 3 · Explain</w:t>
      </w:r>
      <w:r>
        <w:t xml:space="preserve"> </w:t>
      </w:r>
      <w:r>
        <w:rPr>
          <w:i/>
          <w:iCs/>
        </w:rPr>
        <w:t xml:space="preserve">(30 – 36 min)</w:t>
      </w:r>
    </w:p>
    <w:bookmarkStart w:id="29" w:name="min-turn-and-talk-2-class-consensus"/>
    <w:p>
      <w:pPr>
        <w:pStyle w:val="Heading3"/>
      </w:pPr>
      <w:r>
        <w:t xml:space="preserve">30–33 min · Turn-and-Talk #2 + class consensus</w:t>
      </w:r>
    </w:p>
    <w:p>
      <w:pPr>
        <w:pStyle w:val="BlockText"/>
      </w:pPr>
      <w:r>
        <w:t xml:space="preserve">“Look back at Station 5. The first item asked for the gram formula mass of CaCO₃ — that’s a Unit 8 mole skill. The second asked you to spot a chemical change — that’s a Unit 1 classification skill. Turn to your partner: those came from two different units, but how are they secretly</w:t>
      </w:r>
      <w:r>
        <w:t xml:space="preserve"> </w:t>
      </w:r>
      <w:r>
        <w:rPr>
          <w:i/>
          <w:iCs/>
        </w:rPr>
        <w:t xml:space="preserve">the same kind of thinking</w:t>
      </w:r>
      <w:r>
        <w:t xml:space="preserve">?”</w:t>
      </w:r>
    </w:p>
    <w:p>
      <w:pPr>
        <w:pStyle w:val="FirstParagraph"/>
      </w:pPr>
      <w:r>
        <w:t xml:space="preserve">Target consensus: both are</w:t>
      </w:r>
      <w:r>
        <w:t xml:space="preserve"> </w:t>
      </w:r>
      <w:r>
        <w:rPr>
          <w:b/>
          <w:bCs/>
        </w:rPr>
        <w:t xml:space="preserve">pattern-matching</w:t>
      </w:r>
      <w:r>
        <w:t xml:space="preserve"> </w:t>
      </w:r>
      <w:r>
        <w:t xml:space="preserve">— you read the question, recognize what type it is, and reach for the one tool that solves that type. The Regents is not eleven separate tests; it is one test that reshuffles a small set of recognizable patterns. Recognize the pattern, retrieve the tool, done.</w:t>
      </w:r>
    </w:p>
    <w:p>
      <w:pPr>
        <w:pStyle w:val="BlockText"/>
      </w:pPr>
      <w:r>
        <w:t xml:space="preserve">“If a question gives you a mass in grams and asks for moles, what</w:t>
      </w:r>
      <w:r>
        <w:t xml:space="preserve"> </w:t>
      </w:r>
      <w:r>
        <w:rPr>
          <w:i/>
          <w:iCs/>
        </w:rPr>
        <w:t xml:space="preserve">pattern</w:t>
      </w:r>
      <w:r>
        <w:t xml:space="preserve"> </w:t>
      </w:r>
      <w:r>
        <w:t xml:space="preserve">is that, and what is the very first thing you reach for?”</w:t>
      </w:r>
    </w:p>
    <w:p>
      <w:pPr>
        <w:pStyle w:val="FirstParagraph"/>
      </w:pPr>
      <w:r>
        <w:t xml:space="preserve">Target: it is the mole-conversion pattern — reach for the gram formula mass and the Table T formula (moles = mass ÷ GFM). Same move every time.</w:t>
      </w:r>
    </w:p>
    <w:bookmarkEnd w:id="29"/>
    <w:bookmarkStart w:id="30"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that make the Regents navigable. First, the</w:t>
      </w:r>
      <w:r>
        <w:t xml:space="preserve"> </w:t>
      </w:r>
      <w:r>
        <w:rPr>
          <w:b/>
          <w:bCs/>
        </w:rPr>
        <w:t xml:space="preserve">reference tables</w:t>
      </w:r>
      <w:r>
        <w:t xml:space="preserve"> </w:t>
      </w:r>
      <w:r>
        <w:t xml:space="preserve">— the 2025 NYS Chemistry Reference Tables booklet you get with the exam. It is open-book: every density, solubility rule, and formula you need is in there. Knowing</w:t>
      </w:r>
      <w:r>
        <w:t xml:space="preserve"> </w:t>
      </w:r>
      <w:r>
        <w:rPr>
          <w:i/>
          <w:iCs/>
        </w:rPr>
        <w:t xml:space="preserve">which table</w:t>
      </w:r>
      <w:r>
        <w:t xml:space="preserve"> </w:t>
      </w:r>
      <w:r>
        <w:t xml:space="preserve">holds what is worth real points. Second, on every multiple-choice item, three of the four answers are</w:t>
      </w:r>
      <w:r>
        <w:t xml:space="preserve"> </w:t>
      </w:r>
      <w:r>
        <w:rPr>
          <w:b/>
          <w:bCs/>
        </w:rPr>
        <w:t xml:space="preserve">distractors</w:t>
      </w:r>
      <w:r>
        <w:t xml:space="preserve"> </w:t>
      </w:r>
      <w:r>
        <w:t xml:space="preserve">— wrong choices written to look tempting, usually built from a predictable mistake like forgetting a subscript. Spotting</w:t>
      </w:r>
      <w:r>
        <w:t xml:space="preserve"> </w:t>
      </w:r>
      <w:r>
        <w:rPr>
          <w:i/>
          <w:iCs/>
        </w:rPr>
        <w:t xml:space="preserve">why</w:t>
      </w:r>
      <w:r>
        <w:t xml:space="preserve"> </w:t>
      </w:r>
      <w:r>
        <w:t xml:space="preserve">a distractor is wrong is as powerful as knowing why the right answer is right. Third, the</w:t>
      </w:r>
      <w:r>
        <w:t xml:space="preserve"> </w:t>
      </w:r>
      <w:r>
        <w:rPr>
          <w:b/>
          <w:bCs/>
        </w:rPr>
        <w:t xml:space="preserve">constructed response</w:t>
      </w:r>
      <w:r>
        <w:t xml:space="preserve"> </w:t>
      </w:r>
      <w:r>
        <w:t xml:space="preserve">— the open-ended questions where you must show work or write an explanation, not just bubble a letter. On a constructed response, the points are in the</w:t>
      </w:r>
      <w:r>
        <w:t xml:space="preserve"> </w:t>
      </w:r>
      <w:r>
        <w:rPr>
          <w:i/>
          <w:iCs/>
        </w:rPr>
        <w:t xml:space="preserve">steps and the reasoning</w:t>
      </w:r>
      <w:r>
        <w:t xml:space="preserve">, so always show the setup.”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2"/>
        </w:numPr>
      </w:pPr>
      <w:r>
        <w:t xml:space="preserve">“On Station 5, item 1, choice (2) was 68 g/mol. What mistake would make a student pick that distractor?”</w:t>
      </w:r>
      <w:r>
        <w:t xml:space="preserve"> </w:t>
      </w:r>
      <w:r>
        <w:t xml:space="preserve">—</w:t>
      </w:r>
      <w:r>
        <w:t xml:space="preserve"> </w:t>
      </w:r>
      <w:r>
        <w:rPr>
          <w:i/>
          <w:iCs/>
        </w:rPr>
        <w:t xml:space="preserve">Expected response:</w:t>
      </w:r>
      <w:r>
        <w:t xml:space="preserve"> </w:t>
      </w:r>
      <w:r>
        <w:t xml:space="preserve">miscounting the oxygens in CaCO₃ — using O₂ instead of O₃, or dropping an oxygen. The correct GFM is 40 + 12 + 48 = 100 g/mol; the distractors are built from predictable subscript errors.</w:t>
      </w:r>
    </w:p>
    <w:p>
      <w:pPr>
        <w:pStyle w:val="Compact"/>
        <w:numPr>
          <w:ilvl w:val="0"/>
          <w:numId w:val="1012"/>
        </w:numPr>
      </w:pPr>
      <w:r>
        <w:t xml:space="preserve">“On a constructed response asking for the moles in 88 g of CO₂, you write</w:t>
      </w:r>
      <w:r>
        <w:t xml:space="preserve"> </w:t>
      </w:r>
      <w:r>
        <w:t xml:space="preserve">‘2.0 mol’</w:t>
      </w:r>
      <w:r>
        <w:t xml:space="preserve"> </w:t>
      </w:r>
      <w:r>
        <w:t xml:space="preserve">and nothing else. Full credit?”</w:t>
      </w:r>
      <w:r>
        <w:t xml:space="preserve"> </w:t>
      </w:r>
      <w:r>
        <w:t xml:space="preserve">—</w:t>
      </w:r>
      <w:r>
        <w:t xml:space="preserve"> </w:t>
      </w:r>
      <w:r>
        <w:rPr>
          <w:i/>
          <w:iCs/>
        </w:rPr>
        <w:t xml:space="preserve">Expected response:</w:t>
      </w:r>
      <w:r>
        <w:t xml:space="preserve"> </w:t>
      </w:r>
      <w:r>
        <w:t xml:space="preserve">probably not — show the GFM (44) and the division (88 ÷ 44). Constructed-response points live in the shown work, not just the final number.</w:t>
      </w:r>
    </w:p>
    <w:p>
      <w:r>
        <w:pict>
          <v:rect style="width:0;height:1.5pt" o:hralign="center" o:hrstd="t" o:hr="t"/>
        </w:pict>
      </w:r>
    </w:p>
    <w:bookmarkEnd w:id="30"/>
    <w:bookmarkEnd w:id="31"/>
    <w:bookmarkStart w:id="34" w:name="phase-4-elaborate-36-40-min"/>
    <w:p>
      <w:pPr>
        <w:pStyle w:val="Heading2"/>
      </w:pPr>
      <w:r>
        <w:t xml:space="preserve">Phase 4 · Elaborate</w:t>
      </w:r>
      <w:r>
        <w:t xml:space="preserve"> </w:t>
      </w:r>
      <w:r>
        <w:rPr>
          <w:i/>
          <w:iCs/>
        </w:rPr>
        <w:t xml:space="preserve">(36 – 40 min)</w:t>
      </w:r>
    </w:p>
    <w:bookmarkStart w:id="32" w:name="Xfa6b4458e38d9802d11e820aeb59a1e9326cf43"/>
    <w:p>
      <w:pPr>
        <w:pStyle w:val="Heading3"/>
      </w:pPr>
      <w:r>
        <w:t xml:space="preserve">36–39 min · Revise the model + Pattern + Because/But/So expansion</w:t>
      </w:r>
    </w:p>
    <w:p>
      <w:pPr>
        <w:pStyle w:val="FirstParagraph"/>
      </w:pPr>
      <w:r>
        <w:t xml:space="preserve">Students return to their Initial Model concept map. They revise it by (a) adding any unit they left off, (b) drawing at least one</w:t>
      </w:r>
      <w:r>
        <w:t xml:space="preserve"> </w:t>
      </w:r>
      <w:r>
        <w:rPr>
          <w:b/>
          <w:bCs/>
        </w:rPr>
        <w:t xml:space="preserve">connection line between two units</w:t>
      </w:r>
      <w:r>
        <w:t xml:space="preserve"> </w:t>
      </w:r>
      <w:r>
        <w:t xml:space="preserve">and labeling what the two share. Then run a</w:t>
      </w:r>
      <w:r>
        <w:t xml:space="preserve"> </w:t>
      </w:r>
      <w:r>
        <w:rPr>
          <w:b/>
          <w:bCs/>
        </w:rPr>
        <w:t xml:space="preserve">Because/But/So</w:t>
      </w:r>
      <w:r>
        <w:t xml:space="preserve"> </w:t>
      </w:r>
      <w:r>
        <w:t xml:space="preserve">sentence:</w:t>
      </w:r>
    </w:p>
    <w:p>
      <w:pPr>
        <w:pStyle w:val="BlockText"/>
      </w:pPr>
      <w:r>
        <w:rPr>
          <w:i/>
          <w:iCs/>
        </w:rPr>
        <w:t xml:space="preserve">“A student studies all eleven units as eleven separate lists to memorize.”</w:t>
      </w:r>
      <w:r>
        <w:t xml:space="preserve"> </w:t>
      </w:r>
      <w:r>
        <w:rPr>
          <w:i/>
          <w:iCs/>
        </w:rPr>
        <w:t xml:space="preserve">“This makes the Regents harder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“Studying eleven separate lists makes the Regents harder</w:t>
      </w:r>
      <w:r>
        <w:t xml:space="preserve"> </w:t>
      </w:r>
      <w:r>
        <w:rPr>
          <w:b/>
          <w:bCs/>
        </w:rPr>
        <w:t xml:space="preserve">because</w:t>
      </w:r>
      <w:r>
        <w:t xml:space="preserve"> </w:t>
      </w:r>
      <w:r>
        <w:t xml:space="preserve">it hides the connections and triples the memory load,</w:t>
      </w:r>
      <w:r>
        <w:t xml:space="preserve"> </w:t>
      </w:r>
      <w:r>
        <w:rPr>
          <w:b/>
          <w:bCs/>
        </w:rPr>
        <w:t xml:space="preserve">but</w:t>
      </w:r>
      <w:r>
        <w:t xml:space="preserve"> </w:t>
      </w:r>
      <w:r>
        <w:t xml:space="preserve">every unit is really the same two threads — matter being classified and changed, and energy driving the change —</w:t>
      </w:r>
      <w:r>
        <w:t xml:space="preserve"> </w:t>
      </w:r>
      <w:r>
        <w:rPr>
          <w:b/>
          <w:bCs/>
        </w:rPr>
        <w:t xml:space="preserve">so</w:t>
      </w:r>
      <w:r>
        <w:t xml:space="preserve"> </w:t>
      </w:r>
      <w:r>
        <w:t xml:space="preserve">a student who learns the</w:t>
      </w:r>
      <w:r>
        <w:t xml:space="preserve"> </w:t>
      </w:r>
      <w:r>
        <w:rPr>
          <w:i/>
          <w:iCs/>
        </w:rPr>
        <w:t xml:space="preserve">patterns</w:t>
      </w:r>
      <w:r>
        <w:t xml:space="preserve"> </w:t>
      </w:r>
      <w:r>
        <w:t xml:space="preserve">that link the units carries far less to memorize and recognizes each question type faster.”</w:t>
      </w:r>
    </w:p>
    <w:p>
      <w:pPr>
        <w:pStyle w:val="FirstParagraph"/>
      </w:pPr>
      <w:r>
        <w:t xml:space="preserve">Then have students write their own B/B/S using one of these starters:</w:t>
      </w:r>
    </w:p>
    <w:p>
      <w:pPr>
        <w:pStyle w:val="Compact"/>
        <w:numPr>
          <w:ilvl w:val="0"/>
          <w:numId w:val="1013"/>
        </w:numPr>
      </w:pPr>
      <w:r>
        <w:rPr>
          <w:i/>
          <w:iCs/>
        </w:rPr>
        <w:t xml:space="preserve">“A mole calculation in Unit 8 and a solubility lookup in Unit 9 feel unrelated, but…”</w:t>
      </w:r>
    </w:p>
    <w:p>
      <w:pPr>
        <w:pStyle w:val="Compact"/>
        <w:numPr>
          <w:ilvl w:val="0"/>
          <w:numId w:val="1013"/>
        </w:numPr>
      </w:pPr>
      <w:r>
        <w:rPr>
          <w:i/>
          <w:iCs/>
        </w:rPr>
        <w:t xml:space="preserve">“The reference tables are open-book during the Regents, so…”</w:t>
      </w:r>
    </w:p>
    <w:p>
      <w:pPr>
        <w:pStyle w:val="FirstParagraph"/>
      </w:pPr>
      <w:r>
        <w:rPr>
          <w:b/>
          <w:bCs/>
        </w:rPr>
        <w:t xml:space="preserve">Anticipated student responses:</w:t>
      </w:r>
    </w:p>
    <w:p>
      <w:pPr>
        <w:pStyle w:val="Compact"/>
        <w:numPr>
          <w:ilvl w:val="0"/>
          <w:numId w:val="1014"/>
        </w:numPr>
      </w:pPr>
      <w:r>
        <w:t xml:space="preserve">“Because they both use the reference tables.”</w:t>
      </w:r>
      <w:r>
        <w:t xml:space="preserve"> </w:t>
      </w:r>
      <w:r>
        <w:t xml:space="preserve">— good start; push the So:</w:t>
      </w:r>
      <w:r>
        <w:t xml:space="preserve"> </w:t>
      </w:r>
      <w:r>
        <w:t xml:space="preserve">“so the reference tables are the single connecting tool across units, and table fluency raises my score everywhere at once.”</w:t>
      </w:r>
    </w:p>
    <w:p>
      <w:pPr>
        <w:pStyle w:val="Compact"/>
        <w:numPr>
          <w:ilvl w:val="0"/>
          <w:numId w:val="1014"/>
        </w:numPr>
      </w:pPr>
      <w:r>
        <w:t xml:space="preserve">“Because a reaction in Unit 8 and a heating curve in Unit 3 both involve energy.”</w:t>
      </w:r>
      <w:r>
        <w:t xml:space="preserve"> </w:t>
      </w:r>
      <w:r>
        <w:t xml:space="preserve">— excellent cross-unit link; that is exactly the matter-and-energy spine.</w:t>
      </w:r>
    </w:p>
    <w:bookmarkEnd w:id="32"/>
    <w:bookmarkStart w:id="33" w:name="min-return-to-the-phenomenon"/>
    <w:p>
      <w:pPr>
        <w:pStyle w:val="Heading3"/>
      </w:pPr>
      <w:r>
        <w:t xml:space="preserve">39–40 min · Return to the phenomenon</w:t>
      </w:r>
    </w:p>
    <w:p>
      <w:pPr>
        <w:pStyle w:val="BlockText"/>
      </w:pPr>
      <w:r>
        <w:t xml:space="preserve">“Return to the eleven cards on the board. We started by asking: eleven topics, or one story? Point to any two cards and, in one sentence using the word</w:t>
      </w:r>
      <w:r>
        <w:t xml:space="preserve"> </w:t>
      </w:r>
      <w:r>
        <w:rPr>
          <w:i/>
          <w:iCs/>
        </w:rPr>
        <w:t xml:space="preserve">pattern</w:t>
      </w:r>
      <w:r>
        <w:t xml:space="preserve"> </w:t>
      </w:r>
      <w:r>
        <w:t xml:space="preserve">or the word</w:t>
      </w:r>
      <w:r>
        <w:t xml:space="preserve"> </w:t>
      </w:r>
      <w:r>
        <w:rPr>
          <w:i/>
          <w:iCs/>
        </w:rPr>
        <w:t xml:space="preserve">connect</w:t>
      </w:r>
      <w:r>
        <w:t xml:space="preserve">, tell me how they are the same story.”</w:t>
      </w:r>
    </w:p>
    <w:p>
      <w:pPr>
        <w:pStyle w:val="FirstParagraph"/>
      </w:pPr>
      <w:r>
        <w:t xml:space="preserve">Target: any defensible link — e.g.,</w:t>
      </w:r>
      <w:r>
        <w:t xml:space="preserve"> </w:t>
      </w:r>
      <w:r>
        <w:t xml:space="preserve">“Atomic Concepts and The Periodic Table connect because the table is organized by the</w:t>
      </w:r>
      <w:r>
        <w:t xml:space="preserve"> </w:t>
      </w:r>
      <w:r>
        <w:rPr>
          <w:i/>
          <w:iCs/>
        </w:rPr>
        <w:t xml:space="preserve">pattern</w:t>
      </w:r>
      <w:r>
        <w:t xml:space="preserve"> </w:t>
      </w:r>
      <w:r>
        <w:t xml:space="preserve">of how electrons fill atoms.”</w:t>
      </w:r>
      <w:r>
        <w:t xml:space="preserve"> </w:t>
      </w:r>
      <w:r>
        <w:t xml:space="preserve">The point is that students can now generate connections on demand.</w:t>
      </w:r>
    </w:p>
    <w:p>
      <w:pPr>
        <w:pStyle w:val="BlockText"/>
      </w:pPr>
      <w:r>
        <w:t xml:space="preserve">“That is the whole game in June: don’t see eleven tests. See one story with recognizable patterns, and reach for the matching reference-table tool every time.”</w:t>
      </w:r>
    </w:p>
    <w:p>
      <w:r>
        <w:pict>
          <v:rect style="width:0;height:1.5pt" o:hralign="center" o:hrstd="t" o:hr="t"/>
        </w:pict>
      </w:r>
    </w:p>
    <w:bookmarkEnd w:id="33"/>
    <w:bookmarkEnd w:id="34"/>
    <w:bookmarkStart w:id="36" w:name="phase-5-evaluate-40-42-min"/>
    <w:p>
      <w:pPr>
        <w:pStyle w:val="Heading2"/>
      </w:pPr>
      <w:r>
        <w:t xml:space="preserve">Phase 5 · Evaluate</w:t>
      </w:r>
      <w:r>
        <w:t xml:space="preserve"> </w:t>
      </w:r>
      <w:r>
        <w:rPr>
          <w:i/>
          <w:iCs/>
        </w:rPr>
        <w:t xml:space="preserve">(40 – 42 min)</w:t>
      </w:r>
    </w:p>
    <w:bookmarkStart w:id="35"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Calculate the number of moles in 36 g of water (H₂O). Show the gram formula mass and the Table T setup (moles = mass ÷ GFM).</w:t>
      </w:r>
      <w:r>
        <w:t xml:space="preserve"> </w:t>
      </w:r>
      <w:r>
        <w:rPr>
          <w:i/>
          <w:iCs/>
        </w:rPr>
        <w:t xml:space="preserve">(b) Using the reference tables: is sodium nitrate (NaNO₃) soluble in water (Table F)? Which table did you use?</w:t>
      </w:r>
      <w:r>
        <w:t xml:space="preserve"> </w:t>
      </w:r>
      <w:r>
        <w:rPr>
          <w:i/>
          <w:iCs/>
        </w:rPr>
        <w:t xml:space="preserve">(c) In one sentence, use the word</w:t>
      </w:r>
      <w:r>
        <w:rPr>
          <w:i/>
          <w:iCs/>
        </w:rPr>
        <w:t xml:space="preserve"> </w:t>
      </w:r>
      <w:r>
        <w:rPr>
          <w:i/>
          <w:iCs/>
        </w:rPr>
        <w:t xml:space="preserve">“pattern”</w:t>
      </w:r>
      <w:r>
        <w:rPr>
          <w:i/>
          <w:iCs/>
        </w:rPr>
        <w:t xml:space="preserve"> </w:t>
      </w:r>
      <w:r>
        <w:rPr>
          <w:i/>
          <w:iCs/>
        </w:rPr>
        <w:t xml:space="preserve">to connect any two units of this course into one idea about matter or energy.</w:t>
      </w:r>
    </w:p>
    <w:p>
      <w:pPr>
        <w:pStyle w:val="FirstParagraph"/>
      </w:pPr>
      <w:r>
        <w:t xml:space="preserve">Expected answers are in</w:t>
      </w:r>
      <w:r>
        <w:t xml:space="preserve"> </w:t>
      </w:r>
      <w:r>
        <w:rPr>
          <w:rStyle w:val="VerbatimChar"/>
        </w:rPr>
        <w:t xml:space="preserve">Answer_Key.docx</w:t>
      </w:r>
      <w:r>
        <w:t xml:space="preserve">. (Values are deliberately distinct from the station practice — H₂O and NaNO₃ here vs. CO₂ and AgCl at the stations.)</w:t>
      </w:r>
    </w:p>
    <w:p>
      <w:pPr>
        <w:pStyle w:val="BodyText"/>
      </w:pPr>
      <w:r>
        <w:rPr>
          <w:b/>
          <w:bCs/>
        </w:rPr>
        <w:t xml:space="preserve">Closing Reflection (SEL, 30 seconds):</w:t>
      </w:r>
    </w:p>
    <w:p>
      <w:pPr>
        <w:pStyle w:val="BlockText"/>
      </w:pPr>
      <w:r>
        <w:t xml:space="preserve">“On a scale you keep to yourself: which topic feels less scary now than it did at the start of class, and who — a partner or a station — helped with that? Name one thing you’ll review tonight.”</w:t>
      </w:r>
    </w:p>
    <w:p>
      <w:pPr>
        <w:pStyle w:val="FirstParagraph"/>
      </w:pPr>
      <w:r>
        <w:t xml:space="preserve">Collect worksheets; note which topics students still flag so the practice Regents the next day can re-weight toward them.</w:t>
      </w:r>
    </w:p>
    <w:p>
      <w:r>
        <w:pict>
          <v:rect style="width:0;height:1.5pt" o:hralign="center" o:hrstd="t" o:hr="t"/>
        </w:pict>
      </w:r>
    </w:p>
    <w:bookmarkEnd w:id="35"/>
    <w:bookmarkEnd w:id="36"/>
    <w:bookmarkStart w:id="37" w:name="common-misconceptions"/>
    <w:p>
      <w:pPr>
        <w:pStyle w:val="Heading2"/>
      </w:pPr>
      <w:r>
        <w:t xml:space="preserve">Common Misconceptions</w:t>
      </w:r>
    </w:p>
    <w:p>
      <w:pPr>
        <w:pStyle w:val="Compact"/>
        <w:numPr>
          <w:ilvl w:val="0"/>
          <w:numId w:val="1015"/>
        </w:numPr>
      </w:pPr>
      <w:r>
        <w:rPr>
          <w:b/>
          <w:bCs/>
        </w:rPr>
        <w:t xml:space="preserve">Misconception:</w:t>
      </w:r>
      <w:r>
        <w:t xml:space="preserve"> </w:t>
      </w:r>
      <w:r>
        <w:t xml:space="preserve">“The eleven units are eleven separate things I have to memorize.”</w:t>
      </w:r>
      <w:r>
        <w:t xml:space="preserve"> </w:t>
      </w:r>
      <w:r>
        <w:t xml:space="preserve">→</w:t>
      </w:r>
      <w:r>
        <w:t xml:space="preserve"> </w:t>
      </w:r>
      <w:r>
        <w:rPr>
          <w:b/>
          <w:bCs/>
        </w:rPr>
        <w:t xml:space="preserve">Correction:</w:t>
      </w:r>
      <w:r>
        <w:t xml:space="preserve"> </w:t>
      </w:r>
      <w:r>
        <w:t xml:space="preserve">The units are one connected story of matter and energy. Matter is classified (Unit 1), built from atoms (Units 5–7), bonded (Unit 7), and rearranged in reactions that conserve mass and exchange energy (Units 3, 8). Solutions, kinetics, acids, and redox are all special cases of those same rules. Seeing the connections reduces the memory load instead of multiplying it.</w:t>
      </w:r>
    </w:p>
    <w:p>
      <w:pPr>
        <w:pStyle w:val="Compact"/>
        <w:numPr>
          <w:ilvl w:val="0"/>
          <w:numId w:val="1015"/>
        </w:numPr>
      </w:pPr>
      <w:r>
        <w:rPr>
          <w:b/>
          <w:bCs/>
        </w:rPr>
        <w:t xml:space="preserve">Misconception:</w:t>
      </w:r>
      <w:r>
        <w:t xml:space="preserve"> </w:t>
      </w:r>
      <w:r>
        <w:t xml:space="preserve">“The reference tables are a backup I’ll glance at if I’m stuck.”</w:t>
      </w:r>
      <w:r>
        <w:t xml:space="preserve"> </w:t>
      </w:r>
      <w:r>
        <w:t xml:space="preserve">→</w:t>
      </w:r>
      <w:r>
        <w:t xml:space="preserve"> </w:t>
      </w:r>
      <w:r>
        <w:rPr>
          <w:b/>
          <w:bCs/>
        </w:rPr>
        <w:t xml:space="preserve">Correction:</w:t>
      </w:r>
      <w:r>
        <w:t xml:space="preserve"> </w:t>
      </w:r>
      <w:r>
        <w:t xml:space="preserve">The reference tables are the primary tool, used on the majority of items. Densities live on Table S, solubility rules on Table F, formulas on Table T. The Regents is open-book</w:t>
      </w:r>
      <w:r>
        <w:t xml:space="preserve"> </w:t>
      </w:r>
      <w:r>
        <w:rPr>
          <w:i/>
          <w:iCs/>
        </w:rPr>
        <w:t xml:space="preserve">to those tables</w:t>
      </w:r>
      <w:r>
        <w:t xml:space="preserve"> </w:t>
      </w:r>
      <w:r>
        <w:t xml:space="preserve">by design — fluency in finding values fast is a scored skill, not a fallback.</w:t>
      </w:r>
    </w:p>
    <w:p>
      <w:pPr>
        <w:pStyle w:val="Compact"/>
        <w:numPr>
          <w:ilvl w:val="0"/>
          <w:numId w:val="1015"/>
        </w:numPr>
      </w:pPr>
      <w:r>
        <w:rPr>
          <w:b/>
          <w:bCs/>
        </w:rPr>
        <w:t xml:space="preserve">Misconception:</w:t>
      </w:r>
      <w:r>
        <w:t xml:space="preserve"> </w:t>
      </w:r>
      <w:r>
        <w:t xml:space="preserve">“Dissolving salt in water is a chemical change because something happens.”</w:t>
      </w:r>
      <w:r>
        <w:t xml:space="preserve"> </w:t>
      </w:r>
      <w:r>
        <w:t xml:space="preserve">→</w:t>
      </w:r>
      <w:r>
        <w:t xml:space="preserve"> </w:t>
      </w:r>
      <w:r>
        <w:rPr>
          <w:b/>
          <w:bCs/>
        </w:rPr>
        <w:t xml:space="preserve">Correction:</w:t>
      </w:r>
      <w:r>
        <w:t xml:space="preserve"> </w:t>
      </w:r>
      <w:r>
        <w:t xml:space="preserve">Dissolving is a</w:t>
      </w:r>
      <w:r>
        <w:t xml:space="preserve"> </w:t>
      </w:r>
      <w:r>
        <w:rPr>
          <w:i/>
          <w:iCs/>
        </w:rPr>
        <w:t xml:space="preserve">physical</w:t>
      </w:r>
      <w:r>
        <w:t xml:space="preserve"> </w:t>
      </w:r>
      <w:r>
        <w:t xml:space="preserve">change — the salt can be recovered unchanged by evaporating the water. A chemical change produces new substances (burning propane, rusting iron). This Unit 1 distinction reappears all over the Regents.</w:t>
      </w:r>
    </w:p>
    <w:p>
      <w:pPr>
        <w:pStyle w:val="Compact"/>
        <w:numPr>
          <w:ilvl w:val="0"/>
          <w:numId w:val="1015"/>
        </w:numPr>
      </w:pPr>
      <w:r>
        <w:rPr>
          <w:b/>
          <w:bCs/>
        </w:rPr>
        <w:t xml:space="preserve">Misconception:</w:t>
      </w:r>
      <w:r>
        <w:t xml:space="preserve"> </w:t>
      </w:r>
      <w:r>
        <w:t xml:space="preserve">“If I know the answer to a multiple-choice item, I don’t need to look at the other choices.”</w:t>
      </w:r>
      <w:r>
        <w:t xml:space="preserve"> </w:t>
      </w:r>
      <w:r>
        <w:t xml:space="preserve">→</w:t>
      </w:r>
      <w:r>
        <w:t xml:space="preserve"> </w:t>
      </w:r>
      <w:r>
        <w:rPr>
          <w:b/>
          <w:bCs/>
        </w:rPr>
        <w:t xml:space="preserve">Correction:</w:t>
      </w:r>
      <w:r>
        <w:t xml:space="preserve"> </w:t>
      </w:r>
      <w:r>
        <w:t xml:space="preserve">The wrong choices are</w:t>
      </w:r>
      <w:r>
        <w:t xml:space="preserve"> </w:t>
      </w:r>
      <w:r>
        <w:rPr>
          <w:i/>
          <w:iCs/>
        </w:rPr>
        <w:t xml:space="preserve">distractors</w:t>
      </w:r>
      <w:r>
        <w:t xml:space="preserve"> </w:t>
      </w:r>
      <w:r>
        <w:t xml:space="preserve">engineered from common mistakes. Glancing at why each distractor is wrong both confirms your answer and inoculates you against making that same error elsewhere. On CaCO₃, the distractor 68 g/mol is the trap for a dropped oxygen — recognizing the trap is a skill.</w:t>
      </w:r>
    </w:p>
    <w:p>
      <w:pPr>
        <w:pStyle w:val="Compact"/>
        <w:numPr>
          <w:ilvl w:val="0"/>
          <w:numId w:val="1015"/>
        </w:numPr>
      </w:pPr>
      <w:r>
        <w:rPr>
          <w:b/>
          <w:bCs/>
        </w:rPr>
        <w:t xml:space="preserve">Misconception:</w:t>
      </w:r>
      <w:r>
        <w:t xml:space="preserve"> </w:t>
      </w:r>
      <w:r>
        <w:t xml:space="preserve">“On a constructed-response item, the final number is all that’s graded.”</w:t>
      </w:r>
      <w:r>
        <w:t xml:space="preserve"> </w:t>
      </w:r>
      <w:r>
        <w:t xml:space="preserve">→</w:t>
      </w:r>
      <w:r>
        <w:t xml:space="preserve"> </w:t>
      </w:r>
      <w:r>
        <w:rPr>
          <w:b/>
          <w:bCs/>
        </w:rPr>
        <w:t xml:space="preserve">Correction:</w:t>
      </w:r>
      <w:r>
        <w:t xml:space="preserve"> </w:t>
      </w:r>
      <w:r>
        <w:t xml:space="preserve">Constructed-response points are awarded for the</w:t>
      </w:r>
      <w:r>
        <w:t xml:space="preserve"> </w:t>
      </w:r>
      <w:r>
        <w:rPr>
          <w:i/>
          <w:iCs/>
        </w:rPr>
        <w:t xml:space="preserve">shown work and reasoning</w:t>
      </w:r>
      <w:r>
        <w:t xml:space="preserve"> </w:t>
      </w:r>
      <w:r>
        <w:t xml:space="preserve">— the gram formula mass, the setup, the unit. A correct number with no work often earns partial or no credit; a small arithmetic slip with correct shown method often earns most of the points.</w:t>
      </w:r>
    </w:p>
    <w:p>
      <w:r>
        <w:pict>
          <v:rect style="width:0;height:1.5pt" o:hralign="center" o:hrstd="t" o:hr="t"/>
        </w:pict>
      </w:r>
    </w:p>
    <w:bookmarkEnd w:id="37"/>
    <w:bookmarkStart w:id="38" w:name="access-differentiation"/>
    <w:p>
      <w:pPr>
        <w:pStyle w:val="Heading2"/>
      </w:pPr>
      <w:r>
        <w:t xml:space="preserve">Access &amp; Differentiation</w:t>
      </w:r>
    </w:p>
    <w:p>
      <w:pPr>
        <w:pStyle w:val="Compact"/>
        <w:numPr>
          <w:ilvl w:val="0"/>
          <w:numId w:val="1016"/>
        </w:numPr>
      </w:pPr>
      <w:r>
        <w:rPr>
          <w:b/>
          <w:bCs/>
        </w:rPr>
        <w:t xml:space="preserve">ELL/ENL supports:</w:t>
      </w:r>
      <w:r>
        <w:t xml:space="preserve"> </w:t>
      </w:r>
      <w:r>
        <w:t xml:space="preserve">A laminated</w:t>
      </w:r>
      <w:r>
        <w:t xml:space="preserve"> </w:t>
      </w:r>
      <w:r>
        <w:t xml:space="preserve">“which table?”</w:t>
      </w:r>
      <w:r>
        <w:t xml:space="preserve"> </w:t>
      </w:r>
      <w:r>
        <w:t xml:space="preserve">cue card per station: {Table S → density/properties · Table F → solubility · Table T → formulas}. Sentence frames for the Pattern connection: *“Unit ___ and Unit ___ connect because both use ___.”* Word-choice box displayed throughout: {reference table, distractor, constructed response, pattern, mole, gram formula mass}. Pair the concept map (visual) with each classification item so students self-check against the tree.</w:t>
      </w:r>
    </w:p>
    <w:p>
      <w:pPr>
        <w:pStyle w:val="Compact"/>
        <w:numPr>
          <w:ilvl w:val="0"/>
          <w:numId w:val="1016"/>
        </w:numPr>
      </w:pPr>
      <w:r>
        <w:rPr>
          <w:b/>
          <w:bCs/>
        </w:rPr>
        <w:t xml:space="preserve">IEP/SPED supports:</w:t>
      </w:r>
      <w:r>
        <w:t xml:space="preserve"> </w:t>
      </w:r>
      <w:r>
        <w:t xml:space="preserve">Pre-tab the three key reference-table pages (S, F, T) with sticky flags so the lookup is location, not search. Reduce station load to one problem per station rather than two or three, and assign clear group roles (timer, reader, scorer). Provide the GFM add-up template (Element | Atomic mass | Subscript | Product | Sum) pre-printed so the calculation structure is given and the skill target is the retrieval, not the layout. Calculator expected for all arithmetic.</w:t>
      </w:r>
    </w:p>
    <w:p>
      <w:pPr>
        <w:pStyle w:val="Compact"/>
        <w:numPr>
          <w:ilvl w:val="0"/>
          <w:numId w:val="1016"/>
        </w:numPr>
      </w:pPr>
      <w:r>
        <w:rPr>
          <w:b/>
          <w:bCs/>
        </w:rPr>
        <w:t xml:space="preserve">Extensions:</w:t>
      </w:r>
      <w:r>
        <w:t xml:space="preserve"> </w:t>
      </w:r>
      <w:r>
        <w:t xml:space="preserve">(1) Build a</w:t>
      </w:r>
      <w:r>
        <w:t xml:space="preserve"> </w:t>
      </w:r>
      <w:r>
        <w:t xml:space="preserve">“trap map”</w:t>
      </w:r>
      <w:r>
        <w:t xml:space="preserve"> </w:t>
      </w:r>
      <w:r>
        <w:t xml:space="preserve">— for any three released multiple-choice items, identify what predictable mistake each</w:t>
      </w:r>
      <w:r>
        <w:t xml:space="preserve"> </w:t>
      </w:r>
      <w:r>
        <w:rPr>
          <w:i/>
          <w:iCs/>
        </w:rPr>
        <w:t xml:space="preserve">distractor</w:t>
      </w:r>
      <w:r>
        <w:t xml:space="preserve"> </w:t>
      </w:r>
      <w:r>
        <w:t xml:space="preserve">is engineered from. (2) Take one constructed-response item and write the ideal full-credit response, annotating where each point is earned. (3) Choose two units that feel most unrelated to you and write a paragraph connecting them through either the matter thread or the energy thread — then defend the link to a partner.</w:t>
      </w:r>
    </w:p>
    <w:p>
      <w:r>
        <w:pict>
          <v:rect style="width:0;height:1.5pt" o:hralign="center" o:hrstd="t" o:hr="t"/>
        </w:pict>
      </w:r>
    </w:p>
    <w:bookmarkEnd w:id="38"/>
    <w:bookmarkStart w:id="39" w:name="strategy-spotlight"/>
    <w:p>
      <w:pPr>
        <w:pStyle w:val="Heading2"/>
      </w:pPr>
      <w:r>
        <w:t xml:space="preserve">Strategy Spotlight</w:t>
      </w:r>
    </w:p>
    <w:p>
      <w:pPr>
        <w:pStyle w:val="FirstParagraph"/>
      </w:pPr>
      <w:r>
        <w:rPr>
          <w:b/>
          <w:bCs/>
        </w:rPr>
        <w:t xml:space="preserve">ACTIVE LEARNING — timed rotating review stations with instant self-check.</w:t>
      </w:r>
      <w:r>
        <w:t xml:space="preserve"> </w:t>
      </w:r>
      <w:r>
        <w:t xml:space="preserve">Active learning replaces passive review (the teacher works problems on the board while students watch) with structured doing: every student is retrieving, calculating, and self-scoring continuously. For a cumulative review this matters enormously, because the day before a high-stakes exam students do not need to</w:t>
      </w:r>
      <w:r>
        <w:t xml:space="preserve"> </w:t>
      </w:r>
      <w:r>
        <w:rPr>
          <w:i/>
          <w:iCs/>
        </w:rPr>
        <w:t xml:space="preserve">hear</w:t>
      </w:r>
      <w:r>
        <w:t xml:space="preserve"> </w:t>
      </w:r>
      <w:r>
        <w:t xml:space="preserve">the content again — they need to</w:t>
      </w:r>
      <w:r>
        <w:t xml:space="preserve"> </w:t>
      </w:r>
      <w:r>
        <w:rPr>
          <w:i/>
          <w:iCs/>
        </w:rPr>
        <w:t xml:space="preserve">practice retrieving</w:t>
      </w:r>
      <w:r>
        <w:t xml:space="preserve"> </w:t>
      </w:r>
      <w:r>
        <w:t xml:space="preserve">it under mild time pressure, which is exactly what the Regents demands.</w:t>
      </w:r>
    </w:p>
    <w:p>
      <w:pPr>
        <w:pStyle w:val="BodyText"/>
      </w:pPr>
      <w:r>
        <w:rPr>
          <w:b/>
          <w:bCs/>
        </w:rPr>
        <w:t xml:space="preserve">How to run the stations in this lesson (Phase 2, 13–28 min):</w:t>
      </w:r>
    </w:p>
    <w:p>
      <w:pPr>
        <w:pStyle w:val="Compact"/>
        <w:numPr>
          <w:ilvl w:val="0"/>
          <w:numId w:val="1017"/>
        </w:numPr>
      </w:pPr>
      <w:r>
        <w:t xml:space="preserve">Set five stations around the room, each a single card plus a sealed answer envelope. Group students in threes or fours.</w:t>
      </w:r>
    </w:p>
    <w:p>
      <w:pPr>
        <w:pStyle w:val="Compact"/>
        <w:numPr>
          <w:ilvl w:val="0"/>
          <w:numId w:val="1017"/>
        </w:numPr>
      </w:pPr>
      <w:r>
        <w:t xml:space="preserve">Set a visible timer for 4 minutes per station. Groups solve, then open the envelope and self-score</w:t>
      </w:r>
      <w:r>
        <w:t xml:space="preserve"> </w:t>
      </w:r>
      <w:r>
        <w:rPr>
          <w:i/>
          <w:iCs/>
        </w:rPr>
        <w:t xml:space="preserve">before</w:t>
      </w:r>
      <w:r>
        <w:t xml:space="preserve"> </w:t>
      </w:r>
      <w:r>
        <w:t xml:space="preserve">rotating — the immediate feedback loop is the engine of active learning.</w:t>
      </w:r>
    </w:p>
    <w:p>
      <w:pPr>
        <w:pStyle w:val="Compact"/>
        <w:numPr>
          <w:ilvl w:val="0"/>
          <w:numId w:val="1017"/>
        </w:numPr>
      </w:pPr>
      <w:r>
        <w:t xml:space="preserve">Circulate and prompt the metacognitive move at every station:</w:t>
      </w:r>
      <w:r>
        <w:t xml:space="preserve"> </w:t>
      </w:r>
      <w:r>
        <w:rPr>
          <w:i/>
          <w:iCs/>
        </w:rPr>
        <w:t xml:space="preserve">“What type of question is this?”</w:t>
      </w:r>
      <w:r>
        <w:t xml:space="preserve"> </w:t>
      </w:r>
      <w:r>
        <w:t xml:space="preserve">before</w:t>
      </w:r>
      <w:r>
        <w:t xml:space="preserve"> </w:t>
      </w:r>
      <w:r>
        <w:rPr>
          <w:i/>
          <w:iCs/>
        </w:rPr>
        <w:t xml:space="preserve">“What’s the answer?”</w:t>
      </w:r>
    </w:p>
    <w:p>
      <w:pPr>
        <w:pStyle w:val="Compact"/>
        <w:numPr>
          <w:ilvl w:val="0"/>
          <w:numId w:val="1017"/>
        </w:numPr>
      </w:pPr>
      <w:r>
        <w:t xml:space="preserve">The instant self-check means misconceptions surface and die at the station rather than persisting silently to the exam.</w:t>
      </w:r>
    </w:p>
    <w:p>
      <w:pPr>
        <w:pStyle w:val="FirstParagraph"/>
      </w:pPr>
      <w:r>
        <w:t xml:space="preserve">Research on retrieval practice and the testing effect (Roediger &amp; Karpicke; the East Meadow active-learning framework) is unusually robust: actively retrieving information — even getting it wrong and immediately correcting — produces far stronger retention than re-reading or watching. A station model converts a review period from</w:t>
      </w:r>
      <w:r>
        <w:t xml:space="preserve"> </w:t>
      </w:r>
      <w:r>
        <w:t xml:space="preserve">“watch the teacher remember”</w:t>
      </w:r>
      <w:r>
        <w:t xml:space="preserve"> </w:t>
      </w:r>
      <w:r>
        <w:t xml:space="preserve">into</w:t>
      </w:r>
      <w:r>
        <w:t xml:space="preserve"> </w:t>
      </w:r>
      <w:r>
        <w:t xml:space="preserve">“every student remembers, checks, and corrects, five times in fifteen minutes.”</w:t>
      </w:r>
    </w:p>
    <w:p>
      <w:pPr>
        <w:pStyle w:val="BodyText"/>
      </w:pPr>
      <w:r>
        <w:rPr>
          <w:b/>
          <w:bCs/>
        </w:rPr>
        <w:t xml:space="preserve">Connection to Hochman literacy:</w:t>
      </w:r>
      <w:r>
        <w:t xml:space="preserve"> </w:t>
      </w:r>
      <w:r>
        <w:t xml:space="preserve">the Pattern connection sentence and the Because/But/So in Phase 4 force students to articulate the cross-unit links in writing, not just feel them. A student who can</w:t>
      </w:r>
      <w:r>
        <w:t xml:space="preserve"> </w:t>
      </w:r>
      <w:r>
        <w:rPr>
          <w:i/>
          <w:iCs/>
        </w:rPr>
        <w:t xml:space="preserve">write</w:t>
      </w:r>
      <w:r>
        <w:t xml:space="preserve"> </w:t>
      </w:r>
      <w:r>
        <w:t xml:space="preserve">“Unit 8 and Unit 9 connect because both use the reference tables and both are about how much substance is present”</w:t>
      </w:r>
      <w:r>
        <w:t xml:space="preserve"> </w:t>
      </w:r>
      <w:r>
        <w:t xml:space="preserve">has converted a fuzzy intuition into a durable, retrievable sentence.</w:t>
      </w:r>
    </w:p>
    <w:p>
      <w:pPr>
        <w:pStyle w:val="BodyText"/>
      </w:pPr>
      <w:r>
        <w:rPr>
          <w:b/>
          <w:bCs/>
        </w:rPr>
        <w:t xml:space="preserve">Restorative circle as unit-opener.</w:t>
      </w:r>
      <w:r>
        <w:t xml:space="preserve"> </w:t>
      </w:r>
      <w:r>
        <w:t xml:space="preserve">The opening circle (</w:t>
      </w:r>
      <w:r>
        <w:t xml:space="preserve">“one idea that clicked, one that’s still shaky”</w:t>
      </w:r>
      <w:r>
        <w:t xml:space="preserve">) is a deliberate co-strategy: on the eve of a high-stakes exam, naming a fear aloud in a low-stakes circle reduces test anxiety and tells you, the teacher, exactly where to aim the stations.</w:t>
      </w:r>
    </w:p>
    <w:p>
      <w:r>
        <w:pict>
          <v:rect style="width:0;height:1.5pt" o:hralign="center" o:hrstd="t" o:hr="t"/>
        </w:pict>
      </w:r>
    </w:p>
    <w:bookmarkEnd w:id="39"/>
    <w:bookmarkStart w:id="40"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eleven unit cards reframed as</w:t>
            </w:r>
            <w:r>
              <w:t xml:space="preserve"> </w:t>
            </w:r>
            <w:r>
              <w:t xml:space="preserve">“one story”</w:t>
            </w:r>
            <w:r>
              <w:t xml:space="preserve">; the sugar-cube walk-through; concept map</w:t>
            </w:r>
            <w:r>
              <w:t xml:space="preserve"> </w:t>
            </w:r>
            <w:r>
              <w:rPr>
                <w:rStyle w:val="VerbatimChar"/>
              </w:rPr>
              <w:t xml:space="preserve">matter_classification_map.png</w:t>
            </w:r>
            <w:r>
              <w:t xml:space="preserve">; return in Phase 4 by connecting any two cards</w:t>
            </w:r>
          </w:p>
        </w:tc>
      </w:tr>
      <w:tr>
        <w:tc>
          <w:tcPr/>
          <w:p>
            <w:pPr>
              <w:pStyle w:val="Compact"/>
            </w:pPr>
            <w:r>
              <w:t xml:space="preserve">2</w:t>
            </w:r>
          </w:p>
        </w:tc>
        <w:tc>
          <w:tcPr/>
          <w:p>
            <w:pPr>
              <w:pStyle w:val="Compact"/>
            </w:pPr>
            <w:r>
              <w:t xml:space="preserve">Turn and Talk (2–3×)</w:t>
            </w:r>
          </w:p>
        </w:tc>
        <w:tc>
          <w:tcPr/>
          <w:p>
            <w:pPr>
              <w:pStyle w:val="Compact"/>
            </w:pPr>
            <w:r>
              <w:t xml:space="preserve">Phase 1 (TT#1 — what would recognizing a question’s type do for your speed?); Phase 3 (TT#2 — how are a Unit 8 GFM item and a Unit 1 classification item the same kind of thinking?)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(sketch a personal concept map); five rotating review stations with self-check; Phase 4 model revision adding cross-unit connection lines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1 (TT#1), Phase 3 (vocabulary + consensus), and Phase 4 (Pattern connection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distractor / constructed response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eleven cards and generate cross-unit connections on demand, using station evidence and the concept map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r>
              <w:t xml:space="preserve"> </w:t>
            </w:r>
            <w:r>
              <w:t xml:space="preserve">“which table?”</w:t>
            </w:r>
            <w:r>
              <w:t xml:space="preserve"> </w:t>
            </w:r>
            <w:r>
              <w:t xml:space="preserve">cue cards, pre-tabbed reference tables, reduced station load, group roles, GFM template, sentence frames,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 calculation, reference-table retrieval, Pattern connection sentence), distinct values from the station practice</w:t>
            </w:r>
          </w:p>
        </w:tc>
      </w:tr>
    </w:tbl>
    <w:p>
      <w:r>
        <w:pict>
          <v:rect style="width:0;height:1.5pt" o:hralign="center" o:hrstd="t" o:hr="t"/>
        </w:pict>
      </w:r>
    </w:p>
    <w:bookmarkEnd w:id="40"/>
    <w:bookmarkStart w:id="41" w:name="companion-materials"/>
    <w:p>
      <w:pPr>
        <w:pStyle w:val="Heading2"/>
      </w:pPr>
      <w:r>
        <w:t xml:space="preserve">Companion Materials</w:t>
      </w:r>
    </w:p>
    <w:p>
      <w:pPr>
        <w:pStyle w:val="Compact"/>
        <w:numPr>
          <w:ilvl w:val="0"/>
          <w:numId w:val="1018"/>
        </w:numPr>
      </w:pPr>
      <w:r>
        <w:rPr>
          <w:rStyle w:val="VerbatimChar"/>
        </w:rPr>
        <w:t xml:space="preserve">Student_Worksheet.docx</w:t>
      </w:r>
      <w:r>
        <w:t xml:space="preserve"> </w:t>
      </w:r>
      <w:r>
        <w:t xml:space="preserve">— the 5E station-rotation investigation (hand out at start of Phase 2)</w:t>
      </w:r>
    </w:p>
    <w:p>
      <w:pPr>
        <w:pStyle w:val="Compact"/>
        <w:numPr>
          <w:ilvl w:val="0"/>
          <w:numId w:val="1018"/>
        </w:numPr>
      </w:pPr>
      <w:r>
        <w:rPr>
          <w:rStyle w:val="VerbatimChar"/>
        </w:rPr>
        <w:t xml:space="preserve">Student_Notes.docx</w:t>
      </w:r>
      <w:r>
        <w:t xml:space="preserve"> </w:t>
      </w:r>
      <w:r>
        <w:t xml:space="preserve">— guided note-guide for the reference-table map, the worked mole example, and vocabulary</w:t>
      </w:r>
    </w:p>
    <w:p>
      <w:pPr>
        <w:pStyle w:val="Compact"/>
        <w:numPr>
          <w:ilvl w:val="0"/>
          <w:numId w:val="1018"/>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
    <w:bookmarkStart w:id="42" w:name="key-vocabulary-max-3"/>
    <w:p>
      <w:pPr>
        <w:pStyle w:val="Heading2"/>
      </w:pPr>
      <w:r>
        <w:t xml:space="preserve">Key Vocabulary (max 3)</w:t>
      </w:r>
    </w:p>
    <w:p>
      <w:pPr>
        <w:pStyle w:val="Compact"/>
        <w:numPr>
          <w:ilvl w:val="0"/>
          <w:numId w:val="1019"/>
        </w:numPr>
      </w:pPr>
      <w:r>
        <w:rPr>
          <w:b/>
          <w:bCs/>
        </w:rPr>
        <w:t xml:space="preserve">reference table</w:t>
      </w:r>
      <w:r>
        <w:t xml:space="preserve"> </w:t>
      </w:r>
      <w:r>
        <w:t xml:space="preserve">— the 2025 NYS Chemistry Reference Tables booklet supplied with the Regents exam; an open-book resource holding densities (Table S), solubility rules (Table F), formulas (Table T), and more; fluency in finding the right value fast is a scored exam skill</w:t>
      </w:r>
    </w:p>
    <w:p>
      <w:pPr>
        <w:pStyle w:val="Compact"/>
        <w:numPr>
          <w:ilvl w:val="0"/>
          <w:numId w:val="1019"/>
        </w:numPr>
      </w:pPr>
      <w:r>
        <w:rPr>
          <w:b/>
          <w:bCs/>
        </w:rPr>
        <w:t xml:space="preserve">distractor</w:t>
      </w:r>
      <w:r>
        <w:t xml:space="preserve"> </w:t>
      </w:r>
      <w:r>
        <w:t xml:space="preserve">— a wrong answer choice on a multiple-choice item, written to look plausible by mirroring a common mistake (e.g., a dropped subscript); recognizing</w:t>
      </w:r>
      <w:r>
        <w:t xml:space="preserve"> </w:t>
      </w:r>
      <w:r>
        <w:rPr>
          <w:i/>
          <w:iCs/>
        </w:rPr>
        <w:t xml:space="preserve">why</w:t>
      </w:r>
      <w:r>
        <w:t xml:space="preserve"> </w:t>
      </w:r>
      <w:r>
        <w:t xml:space="preserve">a distractor is wrong confirms the right answer and prevents the same error elsewhere</w:t>
      </w:r>
    </w:p>
    <w:p>
      <w:pPr>
        <w:pStyle w:val="Compact"/>
        <w:numPr>
          <w:ilvl w:val="0"/>
          <w:numId w:val="1019"/>
        </w:numPr>
      </w:pPr>
      <w:r>
        <w:rPr>
          <w:b/>
          <w:bCs/>
        </w:rPr>
        <w:t xml:space="preserve">constructed response</w:t>
      </w:r>
      <w:r>
        <w:t xml:space="preserve"> </w:t>
      </w:r>
      <w:r>
        <w:t xml:space="preserve">— an open-ended exam item that requires shown work or a written explanation rather than a bubbled letter; points are awarded for the steps, setup, and reasoning, so the work must always be shown</w:t>
      </w:r>
    </w:p>
    <w:bookmarkEnd w:id="42"/>
    <w:bookmarkEnd w:id="4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2026-06-01T19:45:48Z</dcterms:created>
  <dcterms:modified xsi:type="dcterms:W3CDTF">2026-06-01T19:45:48Z</dcterms:modified>
</cp:coreProperties>
</file>

<file path=docProps/custom.xml><?xml version="1.0" encoding="utf-8"?>
<Properties xmlns="http://schemas.openxmlformats.org/officeDocument/2006/custom-properties" xmlns:vt="http://schemas.openxmlformats.org/officeDocument/2006/docPropsVTypes"/>
</file>