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gents-review-unit-plan"/>
    <w:p>
      <w:pPr>
        <w:pStyle w:val="Heading1"/>
      </w:pPr>
      <w:r>
        <w:t xml:space="preserve">Regents Review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14: REGENTS REVIEW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1 lessons · ~1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closing unit is a single cumulative review that reframes the eleven units of the course as one connected story of matter and energy rather than eleven separate topics to cram. Students build a concept map that links classification, atomic structure, bonding, reactions, and the special cases of solutions, kinetics, and acids/redox; they then practice retrieving values fluently from the 2025 NYS Chemistry Reference Tables and running mixed-topic calculations under time pressure. The work is pure pattern-recognition: every Regents item belongs to a recognizable type (a mole calculation, a Table-S density lookup, a Table-F solubility check, a balancing problem), and the day trains students to name the type and reach for the matching tool, arriving exam-ready in June.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Cumulative Review</w:t>
            </w:r>
          </w:p>
        </w:tc>
        <w:tc>
          <w:tcPr/>
          <w:p>
            <w:pPr>
              <w:pStyle w:val="Compact"/>
            </w:pPr>
            <w:r>
              <w:t xml:space="preserve">Eleven units are one story of matter and energy; recognize a Regents question’s</w:t>
            </w:r>
            <w:r>
              <w:t xml:space="preserve"> </w:t>
            </w:r>
            <w:r>
              <w:rPr>
                <w:i/>
                <w:iCs/>
              </w:rPr>
              <w:t xml:space="preserve">type</w:t>
            </w:r>
            <w:r>
              <w:t xml:space="preserve"> </w:t>
            </w:r>
            <w:r>
              <w:t xml:space="preserve">and reach for the matching reference-table tool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Cumulative Review</w:t>
            </w:r>
          </w:p>
        </w:tc>
        <w:tc>
          <w:tcPr/>
          <w:p>
            <w:pPr>
              <w:pStyle w:val="Compact"/>
            </w:pPr>
            <w:r>
              <w:t xml:space="preserve">Eleven unit cards on the board — eleven topics, or one story told eleven ways? One sugar cube travels six units</w:t>
            </w:r>
          </w:p>
        </w:tc>
        <w:tc>
          <w:tcPr/>
          <w:p>
            <w:pPr>
              <w:pStyle w:val="Compact"/>
            </w:pPr>
            <w:r>
              <w:t xml:space="preserve">Active Learning · Restorative Circle (unit opener)</w:t>
            </w:r>
          </w:p>
        </w:tc>
      </w:tr>
    </w:tbl>
    <w:p>
      <w:pPr>
        <w:pStyle w:val="BodyText"/>
      </w:pPr>
      <w:r>
        <w:t xml:space="preserve">The single period runs five timed review stations with instant self-check; on a double-period day the practice Regents checkpoint can follow immediately.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(unit-opening circle — name one chemistry idea that finally</w:t>
      </w:r>
      <w:r>
        <w:t xml:space="preserve"> </w:t>
      </w:r>
      <w:r>
        <w:t xml:space="preserve">“clicked”</w:t>
      </w:r>
      <w:r>
        <w:t xml:space="preserve"> </w:t>
      </w:r>
      <w:r>
        <w:t xml:space="preserve">and one that still feels shaky).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 01 (five timed rotating review stations with sealed answer envelopes for instant self-check).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not used in this single-lesson review unit.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embedded in Lesson 01 (Because/But/So expansion and the Pattern connection sentence in the Elaborate phase).</w:t>
      </w:r>
    </w:p>
    <w:p>
      <w:pPr>
        <w:pStyle w:val="FirstParagraph"/>
      </w:pPr>
      <w:r>
        <w:t xml:space="preserve">SEL (opening circle + closing reflection), ELL/SPED supports, and OPTIC/CER literacy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HS-PS1-1 → HS-PS1-8</w:t>
            </w:r>
          </w:p>
        </w:tc>
        <w:tc>
          <w:tcPr/>
          <w:p>
            <w:pPr>
              <w:pStyle w:val="Compact"/>
            </w:pPr>
            <w:r>
              <w:t xml:space="preserve">Cumulative — matter classification, atomic structure, bonding, reactions, moles, conservation of mass, solutions, kinetics, acids/redox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 / HS-PS3 (energy)</w:t>
            </w:r>
          </w:p>
        </w:tc>
        <w:tc>
          <w:tcPr/>
          <w:p>
            <w:pPr>
              <w:pStyle w:val="Compact"/>
            </w:pPr>
            <w:r>
              <w:t xml:space="preserve">Energy connections across the course — energy drives and is exchanged in physical and chemical change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SEP-2 (Developing &amp; Using Models)</w:t>
            </w:r>
          </w:p>
        </w:tc>
        <w:tc>
          <w:tcPr/>
          <w:p>
            <w:pPr>
              <w:pStyle w:val="Compact"/>
            </w:pPr>
            <w:r>
              <w:t xml:space="preserve">Build a concept map linking all eleven units into one understanding of matter and energy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SEP-5 (Mathematics &amp; Computational Thinking)</w:t>
            </w:r>
          </w:p>
        </w:tc>
        <w:tc>
          <w:tcPr/>
          <w:p>
            <w:pPr>
              <w:pStyle w:val="Compact"/>
            </w:pPr>
            <w:r>
              <w:t xml:space="preserve">Fluent retrieval from the 2025 NYS Chemistry Reference Tables; mixed-topic calculations under time pressure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 — Patterns</w:t>
            </w:r>
          </w:p>
        </w:tc>
        <w:tc>
          <w:tcPr/>
          <w:p>
            <w:pPr>
              <w:pStyle w:val="Compact"/>
            </w:pPr>
            <w:r>
              <w:t xml:space="preserve">Every Regents item belongs to a recognizable</w:t>
            </w:r>
            <w:r>
              <w:t xml:space="preserve"> </w:t>
            </w:r>
            <w:r>
              <w:rPr>
                <w:i/>
                <w:iCs/>
              </w:rPr>
              <w:t xml:space="preserve">type</w:t>
            </w:r>
            <w:r>
              <w:t xml:space="preserve">; recognizing the type selects the tool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reference table · distractor · constructed response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