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 at the top, middle, and bottom of a track: PE converts to KE while the total mechanical energy stays constant." title="" id="12" name="Picture"/>
            <a:graphic>
              <a:graphicData uri="http://schemas.openxmlformats.org/drawingml/2006/picture">
                <pic:pic>
                  <pic:nvPicPr>
                    <pic:cNvPr descr="figures/energy_bar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 at the top, middle, and bottom of a track: PE converts to KE while the total mechanical energy stays constant.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