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 Use the diagram below as your model — equal-length arrows, pointing opposite ways, one on each object.</w:t>
      </w:r>
    </w:p>
    <w:p>
      <w:pPr>
        <w:pStyle w:val="CaptionedFigure"/>
      </w:pPr>
      <w:r>
        <w:drawing>
          <wp:inline>
            <wp:extent cx="5181600" cy="2633472"/>
            <wp:effectExtent b="0" l="0" r="0" t="0"/>
            <wp:docPr descr="Action–reaction pair: two objects A and B, with equal-length force arrows pointing in opposite directions, one drawn on each object." title="" id="13" name="Picture"/>
            <a:graphic>
              <a:graphicData uri="http://schemas.openxmlformats.org/drawingml/2006/picture">
                <pic:pic>
                  <pic:nvPicPr>
                    <pic:cNvPr descr="figures/action_reaction_pai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Action–reaction pair: two objects A and B, with equal-length force arrows pointing in opposite directions, one drawn on each object.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