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electrostatics-unit-plan"/>
    <w:p>
      <w:pPr>
        <w:pStyle w:val="Heading1"/>
      </w:pPr>
      <w:r>
        <w:t xml:space="preserve">Electrostatics — Unit Plan</w:t>
      </w:r>
    </w:p>
    <w:bookmarkStart w:id="9" w:name="cover"/>
    <w:p>
      <w:pPr>
        <w:pStyle w:val="Heading2"/>
      </w:pPr>
      <w:r>
        <w:t xml:space="preserve">Cover</w:t>
      </w:r>
    </w:p>
    <w:p>
      <w:pPr>
        <w:pStyle w:val="FirstParagraph"/>
      </w:pPr>
      <w:r>
        <w:rPr>
          <w:b/>
          <w:bCs/>
        </w:rPr>
        <w:t xml:space="preserve">Unit: Electrostatics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the electric interaction from the ground up: the two kinds of charge, how charge moves (or doesn’t) through materials, the three ways objects become charged, the quantitative force law (Coulomb’s law), and the field model that explains action at a distance. It builds directly on the Forces unit — especially Universal Gravitation, whose inverse-square law reappears for charge (HS-PS2-4, the Patterns crosscutting concept) — and it sets up Circuits and Magnetism.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Electric Charge</w:t>
            </w:r>
          </w:p>
        </w:tc>
        <w:tc>
          <w:tcPr/>
          <w:p>
            <w:pPr>
              <w:pStyle w:val="Compact"/>
            </w:pPr>
            <w:r>
              <w:t xml:space="preserve">Two kinds of charge (+/−); like repel, unlike attract; charge is conserved and quantized</w:t>
            </w:r>
          </w:p>
        </w:tc>
      </w:tr>
      <w:tr>
        <w:tc>
          <w:tcPr/>
          <w:p>
            <w:pPr>
              <w:pStyle w:val="Compact"/>
            </w:pPr>
            <w:r>
              <w:t xml:space="preserve">02</w:t>
            </w:r>
          </w:p>
        </w:tc>
        <w:tc>
          <w:tcPr/>
          <w:p>
            <w:pPr>
              <w:pStyle w:val="Compact"/>
            </w:pPr>
            <w:r>
              <w:t xml:space="preserve">Conductors, Insulators, and Charging by Conduction</w:t>
            </w:r>
          </w:p>
        </w:tc>
        <w:tc>
          <w:tcPr/>
          <w:p>
            <w:pPr>
              <w:pStyle w:val="Compact"/>
            </w:pPr>
            <w:r>
              <w:t xml:space="preserve">Charge moves freely in conductors, not in insulators; contact transfers same-sign charge</w:t>
            </w:r>
          </w:p>
        </w:tc>
      </w:tr>
      <w:tr>
        <w:tc>
          <w:tcPr/>
          <w:p>
            <w:pPr>
              <w:pStyle w:val="Compact"/>
            </w:pPr>
            <w:r>
              <w:t xml:space="preserve">03</w:t>
            </w:r>
          </w:p>
        </w:tc>
        <w:tc>
          <w:tcPr/>
          <w:p>
            <w:pPr>
              <w:pStyle w:val="Compact"/>
            </w:pPr>
            <w:r>
              <w:t xml:space="preserve">Charging by Induction and Polarization</w:t>
            </w:r>
          </w:p>
        </w:tc>
        <w:tc>
          <w:tcPr/>
          <w:p>
            <w:pPr>
              <w:pStyle w:val="Compact"/>
            </w:pPr>
            <w:r>
              <w:t xml:space="preserve">Induction charges without contact (opposite sign); polarization shifts charge in a neutral object</w:t>
            </w:r>
          </w:p>
        </w:tc>
      </w:tr>
      <w:tr>
        <w:tc>
          <w:tcPr/>
          <w:p>
            <w:pPr>
              <w:pStyle w:val="Compact"/>
            </w:pPr>
            <w:r>
              <w:t xml:space="preserve">04</w:t>
            </w:r>
          </w:p>
        </w:tc>
        <w:tc>
          <w:tcPr/>
          <w:p>
            <w:pPr>
              <w:pStyle w:val="Compact"/>
            </w:pPr>
            <w:r>
              <w:t xml:space="preserve">Coulomb’s Law</w:t>
            </w:r>
          </w:p>
        </w:tc>
        <w:tc>
          <w:tcPr/>
          <w:p>
            <w:pPr>
              <w:pStyle w:val="Compact"/>
            </w:pPr>
            <w:r>
              <w:t xml:space="preserve">Fₑ = k·q₁·q₂ / r²; the inverse-square Pattern shared with gravity</w:t>
            </w:r>
          </w:p>
        </w:tc>
      </w:tr>
      <w:tr>
        <w:tc>
          <w:tcPr/>
          <w:p>
            <w:pPr>
              <w:pStyle w:val="Compact"/>
            </w:pPr>
            <w:r>
              <w:t xml:space="preserve">05</w:t>
            </w:r>
          </w:p>
        </w:tc>
        <w:tc>
          <w:tcPr/>
          <w:p>
            <w:pPr>
              <w:pStyle w:val="Compact"/>
            </w:pPr>
            <w:r>
              <w:t xml:space="preserve">Electric Fields</w:t>
            </w:r>
          </w:p>
        </w:tc>
        <w:tc>
          <w:tcPr/>
          <w:p>
            <w:pPr>
              <w:pStyle w:val="Compact"/>
            </w:pPr>
            <w:r>
              <w:t xml:space="preserve">E = Fₑ / q; a field is force per unit charge; points away from + and toward −</w:t>
            </w:r>
          </w:p>
        </w:tc>
      </w:tr>
      <w:tr>
        <w:tc>
          <w:tcPr/>
          <w:p>
            <w:pPr>
              <w:pStyle w:val="Compact"/>
            </w:pPr>
            <w:r>
              <w:t xml:space="preserve">06</w:t>
            </w:r>
          </w:p>
        </w:tc>
        <w:tc>
          <w:tcPr/>
          <w:p>
            <w:pPr>
              <w:pStyle w:val="Compact"/>
            </w:pPr>
            <w:r>
              <w:t xml:space="preserve">Electric Field Lines</w:t>
            </w:r>
          </w:p>
        </w:tc>
        <w:tc>
          <w:tcPr/>
          <w:p>
            <w:pPr>
              <w:pStyle w:val="Compact"/>
            </w:pPr>
            <w:r>
              <w:t xml:space="preserve">Rules for drawing field lines; single charge, dipole, parallel plates</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Electric Charge</w:t>
            </w:r>
          </w:p>
        </w:tc>
        <w:tc>
          <w:tcPr/>
          <w:p>
            <w:pPr>
              <w:pStyle w:val="Compact"/>
            </w:pPr>
            <w:r>
              <w:t xml:space="preserve">Balloon sticks to hair/wall; static shock</w:t>
            </w:r>
          </w:p>
        </w:tc>
        <w:tc>
          <w:tcPr/>
          <w:p>
            <w:pPr>
              <w:pStyle w:val="Compact"/>
            </w:pPr>
            <w:r>
              <w:t xml:space="preserve">Restorative Circle (unit opener)</w:t>
            </w:r>
          </w:p>
        </w:tc>
      </w:tr>
      <w:tr>
        <w:tc>
          <w:tcPr/>
          <w:p>
            <w:pPr>
              <w:pStyle w:val="Compact"/>
            </w:pPr>
            <w:r>
              <w:t xml:space="preserve">2</w:t>
            </w:r>
          </w:p>
        </w:tc>
        <w:tc>
          <w:tcPr/>
          <w:p>
            <w:pPr>
              <w:pStyle w:val="Compact"/>
            </w:pPr>
            <w:r>
              <w:t xml:space="preserve">02 Conductors / Insulators / Conduction</w:t>
            </w:r>
          </w:p>
        </w:tc>
        <w:tc>
          <w:tcPr/>
          <w:p>
            <w:pPr>
              <w:pStyle w:val="Compact"/>
            </w:pPr>
            <w:r>
              <w:t xml:space="preserve">Van de Graaff hair; charged rod on an electroscope</w:t>
            </w:r>
          </w:p>
        </w:tc>
        <w:tc>
          <w:tcPr/>
          <w:p>
            <w:pPr>
              <w:pStyle w:val="Compact"/>
            </w:pPr>
            <w:r>
              <w:t xml:space="preserve">Active Learning</w:t>
            </w:r>
          </w:p>
        </w:tc>
      </w:tr>
      <w:tr>
        <w:tc>
          <w:tcPr/>
          <w:p>
            <w:pPr>
              <w:pStyle w:val="Compact"/>
            </w:pPr>
            <w:r>
              <w:t xml:space="preserve">3</w:t>
            </w:r>
          </w:p>
        </w:tc>
        <w:tc>
          <w:tcPr/>
          <w:p>
            <w:pPr>
              <w:pStyle w:val="Compact"/>
            </w:pPr>
            <w:r>
              <w:t xml:space="preserve">03 Induction / Polarization</w:t>
            </w:r>
          </w:p>
        </w:tc>
        <w:tc>
          <w:tcPr/>
          <w:p>
            <w:pPr>
              <w:pStyle w:val="Compact"/>
            </w:pPr>
            <w:r>
              <w:t xml:space="preserve">Charged rod bends water / attracts neutral paper</w:t>
            </w:r>
          </w:p>
        </w:tc>
        <w:tc>
          <w:tcPr/>
          <w:p>
            <w:pPr>
              <w:pStyle w:val="Compact"/>
            </w:pPr>
            <w:r>
              <w:t xml:space="preserve">BTC</w:t>
            </w:r>
          </w:p>
        </w:tc>
      </w:tr>
      <w:tr>
        <w:tc>
          <w:tcPr/>
          <w:p>
            <w:pPr>
              <w:pStyle w:val="Compact"/>
            </w:pPr>
            <w:r>
              <w:t xml:space="preserve">4</w:t>
            </w:r>
          </w:p>
        </w:tc>
        <w:tc>
          <w:tcPr/>
          <w:p>
            <w:pPr>
              <w:pStyle w:val="Compact"/>
            </w:pPr>
            <w:r>
              <w:t xml:space="preserve">04 Coulomb’s Law</w:t>
            </w:r>
          </w:p>
        </w:tc>
        <w:tc>
          <w:tcPr/>
          <w:p>
            <w:pPr>
              <w:pStyle w:val="Compact"/>
            </w:pPr>
            <w:r>
              <w:t xml:space="preserve">PhET Coulomb’s Law: two charged spheres</w:t>
            </w:r>
          </w:p>
        </w:tc>
        <w:tc>
          <w:tcPr/>
          <w:p>
            <w:pPr>
              <w:pStyle w:val="Compact"/>
            </w:pPr>
            <w:r>
              <w:t xml:space="preserve">Hochman</w:t>
            </w:r>
          </w:p>
        </w:tc>
      </w:tr>
      <w:tr>
        <w:tc>
          <w:tcPr/>
          <w:p>
            <w:pPr>
              <w:pStyle w:val="Compact"/>
            </w:pPr>
            <w:r>
              <w:t xml:space="preserve">5</w:t>
            </w:r>
          </w:p>
        </w:tc>
        <w:tc>
          <w:tcPr/>
          <w:p>
            <w:pPr>
              <w:pStyle w:val="Compact"/>
            </w:pPr>
            <w:r>
              <w:t xml:space="preserve">05 Electric Fields</w:t>
            </w:r>
          </w:p>
        </w:tc>
        <w:tc>
          <w:tcPr/>
          <w:p>
            <w:pPr>
              <w:pStyle w:val="Compact"/>
            </w:pPr>
            <w:r>
              <w:t xml:space="preserve">Plasma ball lighting a fluorescent bulb at a distance</w:t>
            </w:r>
          </w:p>
        </w:tc>
        <w:tc>
          <w:tcPr/>
          <w:p>
            <w:pPr>
              <w:pStyle w:val="Compact"/>
            </w:pPr>
            <w:r>
              <w:t xml:space="preserve">Active Learning</w:t>
            </w:r>
          </w:p>
        </w:tc>
      </w:tr>
      <w:tr>
        <w:tc>
          <w:tcPr/>
          <w:p>
            <w:pPr>
              <w:pStyle w:val="Compact"/>
            </w:pPr>
            <w:r>
              <w:t xml:space="preserve">6</w:t>
            </w:r>
          </w:p>
        </w:tc>
        <w:tc>
          <w:tcPr/>
          <w:p>
            <w:pPr>
              <w:pStyle w:val="Compact"/>
            </w:pPr>
            <w:r>
              <w:t xml:space="preserve">06 Electric Field Lines</w:t>
            </w:r>
          </w:p>
        </w:tc>
        <w:tc>
          <w:tcPr/>
          <w:p>
            <w:pPr>
              <w:pStyle w:val="Compact"/>
            </w:pPr>
            <w:r>
              <w:t xml:space="preserve">Semolina-in-oil reveals the field between electrodes</w:t>
            </w:r>
          </w:p>
        </w:tc>
        <w:tc>
          <w:tcPr/>
          <w:p>
            <w:pPr>
              <w:pStyle w:val="Compact"/>
            </w:pPr>
            <w:r>
              <w:t xml:space="preserve">Hochman</w:t>
            </w:r>
          </w:p>
        </w:tc>
      </w:tr>
    </w:tbl>
    <w:p>
      <w:pPr>
        <w:pStyle w:val="BodyText"/>
      </w:pPr>
      <w:r>
        <w:t xml:space="preserve">Double-period days (every other day) allow the investigation phases of Lessons 02–03 (sorting/BTC board work) and the PhET data sweeps of Lesson 04 to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 unit-opening circle (</w:t>
      </w:r>
      <w:r>
        <w:t xml:space="preserve">“a shock, spark, or cling you’ve felt”</w:t>
      </w:r>
      <w:r>
        <w:t xml:space="preserve">).</w:t>
      </w:r>
    </w:p>
    <w:p>
      <w:pPr>
        <w:pStyle w:val="Compact"/>
        <w:numPr>
          <w:ilvl w:val="0"/>
          <w:numId w:val="1001"/>
        </w:numPr>
      </w:pPr>
      <w:r>
        <w:rPr>
          <w:b/>
          <w:bCs/>
        </w:rPr>
        <w:t xml:space="preserve">ACTIVE LEARNING</w:t>
      </w:r>
      <w:r>
        <w:t xml:space="preserve">: Lessons 02, 05 — predict-sort-test on vertical whiteboards (conductors/insulators) and the human field-map.</w:t>
      </w:r>
    </w:p>
    <w:p>
      <w:pPr>
        <w:pStyle w:val="Compact"/>
        <w:numPr>
          <w:ilvl w:val="0"/>
          <w:numId w:val="1001"/>
        </w:numPr>
      </w:pPr>
      <w:r>
        <w:rPr>
          <w:b/>
          <w:bCs/>
        </w:rPr>
        <w:t xml:space="preserve">BTC</w:t>
      </w:r>
      <w:r>
        <w:t xml:space="preserve"> </w:t>
      </w:r>
      <w:r>
        <w:t xml:space="preserve">(Building Thinking Classrooms): Lesson 03 — random groups + vertical non-permanent surfaces on the induction thin-slice.</w:t>
      </w:r>
    </w:p>
    <w:p>
      <w:pPr>
        <w:pStyle w:val="Compact"/>
        <w:numPr>
          <w:ilvl w:val="0"/>
          <w:numId w:val="1001"/>
        </w:numPr>
      </w:pPr>
      <w:r>
        <w:rPr>
          <w:b/>
          <w:bCs/>
        </w:rPr>
        <w:t xml:space="preserve">HOCHMAN</w:t>
      </w:r>
      <w:r>
        <w:t xml:space="preserve"> </w:t>
      </w:r>
      <w:r>
        <w:t xml:space="preserve">(literacy): Lessons 04, 06 — Because/But/So expansion and appositives on Coulomb’s law and the field-line rules.</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HS-PS2-4</w:t>
            </w:r>
          </w:p>
        </w:tc>
        <w:tc>
          <w:tcPr/>
          <w:p>
            <w:pPr>
              <w:pStyle w:val="Compact"/>
            </w:pPr>
            <w:r>
              <w:t xml:space="preserve">“Use mathematical representations of Newton’s Law of Gravitation and Coulomb’s Law to describe and predict the gravitational and electrostatic forces between objects. (Patterns)”</w:t>
            </w:r>
          </w:p>
        </w:tc>
        <w:tc>
          <w:tcPr/>
          <w:p>
            <w:pPr>
              <w:pStyle w:val="Compact"/>
            </w:pPr>
            <w:r>
              <w:t xml:space="preserve">04 (core — Coulomb’s law)</w:t>
            </w:r>
          </w:p>
        </w:tc>
      </w:tr>
      <w:tr>
        <w:tc>
          <w:tcPr/>
          <w:p>
            <w:pPr>
              <w:pStyle w:val="Compact"/>
            </w:pPr>
            <w:r>
              <w:t xml:space="preserve">HS-PS3-5</w:t>
            </w:r>
          </w:p>
        </w:tc>
        <w:tc>
          <w:tcPr/>
          <w:p>
            <w:pPr>
              <w:pStyle w:val="Compact"/>
            </w:pPr>
            <w:r>
              <w:t xml:space="preserve">“Develop and use a model of two objects interacting through electric or magnetic fields to illustrate the forces between objects and the changes in energy of the objects due to the interaction. (Cause and Effect)”</w:t>
            </w:r>
          </w:p>
        </w:tc>
        <w:tc>
          <w:tcPr/>
          <w:p>
            <w:pPr>
              <w:pStyle w:val="Compact"/>
            </w:pPr>
            <w:r>
              <w:t xml:space="preserve">01, 02, 03 (mechanism), 05, 06 (field model)</w:t>
            </w:r>
          </w:p>
        </w:tc>
      </w:tr>
    </w:tbl>
    <w:p>
      <w:pPr>
        <w:pStyle w:val="BodyText"/>
      </w:pPr>
      <w:r>
        <w:t xml:space="preserve">Crosscutting concepts:</w:t>
      </w:r>
      <w:r>
        <w:t xml:space="preserve"> </w:t>
      </w:r>
      <w:r>
        <w:rPr>
          <w:b/>
          <w:bCs/>
        </w:rPr>
        <w:t xml:space="preserve">Patterns</w:t>
      </w:r>
      <w:r>
        <w:t xml:space="preserve"> </w:t>
      </w:r>
      <w:r>
        <w:t xml:space="preserve">(the inverse-square law shared by Coulomb and gravity, Lesson 04) and</w:t>
      </w:r>
      <w:r>
        <w:t xml:space="preserve"> </w:t>
      </w:r>
      <w:r>
        <w:rPr>
          <w:b/>
          <w:bCs/>
        </w:rPr>
        <w:t xml:space="preserve">Cause and Effect</w:t>
      </w:r>
      <w:r>
        <w:t xml:space="preserve"> </w:t>
      </w:r>
      <w:r>
        <w:t xml:space="preserve">(charge causes interaction, field causes force, throughout).</w:t>
      </w:r>
    </w:p>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electric charge · positive charge · negative charge</w:t>
            </w:r>
          </w:p>
        </w:tc>
      </w:tr>
      <w:tr>
        <w:tc>
          <w:tcPr/>
          <w:p>
            <w:pPr>
              <w:pStyle w:val="Compact"/>
            </w:pPr>
            <w:r>
              <w:t xml:space="preserve">02</w:t>
            </w:r>
          </w:p>
        </w:tc>
        <w:tc>
          <w:tcPr/>
          <w:p>
            <w:pPr>
              <w:pStyle w:val="Compact"/>
            </w:pPr>
            <w:r>
              <w:t xml:space="preserve">conductor · insulator · charging by conduction</w:t>
            </w:r>
          </w:p>
        </w:tc>
      </w:tr>
      <w:tr>
        <w:tc>
          <w:tcPr/>
          <w:p>
            <w:pPr>
              <w:pStyle w:val="Compact"/>
            </w:pPr>
            <w:r>
              <w:t xml:space="preserve">03</w:t>
            </w:r>
          </w:p>
        </w:tc>
        <w:tc>
          <w:tcPr/>
          <w:p>
            <w:pPr>
              <w:pStyle w:val="Compact"/>
            </w:pPr>
            <w:r>
              <w:t xml:space="preserve">polarization · induction · grounding</w:t>
            </w:r>
          </w:p>
        </w:tc>
      </w:tr>
      <w:tr>
        <w:tc>
          <w:tcPr/>
          <w:p>
            <w:pPr>
              <w:pStyle w:val="Compact"/>
            </w:pPr>
            <w:r>
              <w:t xml:space="preserve">04</w:t>
            </w:r>
          </w:p>
        </w:tc>
        <w:tc>
          <w:tcPr/>
          <w:p>
            <w:pPr>
              <w:pStyle w:val="Compact"/>
            </w:pPr>
            <w:r>
              <w:t xml:space="preserve">Coulomb’s law · electrostatic force · inverse-square law</w:t>
            </w:r>
          </w:p>
        </w:tc>
      </w:tr>
      <w:tr>
        <w:tc>
          <w:tcPr/>
          <w:p>
            <w:pPr>
              <w:pStyle w:val="Compact"/>
            </w:pPr>
            <w:r>
              <w:t xml:space="preserve">05</w:t>
            </w:r>
          </w:p>
        </w:tc>
        <w:tc>
          <w:tcPr/>
          <w:p>
            <w:pPr>
              <w:pStyle w:val="Compact"/>
            </w:pPr>
            <w:r>
              <w:t xml:space="preserve">electric field · test charge · field strength</w:t>
            </w:r>
          </w:p>
        </w:tc>
      </w:tr>
      <w:tr>
        <w:tc>
          <w:tcPr/>
          <w:p>
            <w:pPr>
              <w:pStyle w:val="Compact"/>
            </w:pPr>
            <w:r>
              <w:t xml:space="preserve">06</w:t>
            </w:r>
          </w:p>
        </w:tc>
        <w:tc>
          <w:tcPr/>
          <w:p>
            <w:pPr>
              <w:pStyle w:val="Compact"/>
            </w:pPr>
            <w:r>
              <w:t xml:space="preserve">field line · dipole · uniform field</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2026-06-01T19:43:49Z</dcterms:created>
  <dcterms:modified xsi:type="dcterms:W3CDTF">2026-06-01T19:43:49Z</dcterms:modified>
</cp:coreProperties>
</file>

<file path=docProps/custom.xml><?xml version="1.0" encoding="utf-8"?>
<Properties xmlns="http://schemas.openxmlformats.org/officeDocument/2006/custom-properties" xmlns:vt="http://schemas.openxmlformats.org/officeDocument/2006/docPropsVTypes"/>
</file>