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vectors-teacher-guide"/>
    <w:p>
      <w:pPr>
        <w:pStyle w:val="Heading1"/>
      </w:pPr>
      <w:r>
        <w:t xml:space="preserve">Vectors — Teacher Guide</w:t>
      </w:r>
    </w:p>
    <w:bookmarkStart w:id="9" w:name="cover"/>
    <w:p>
      <w:pPr>
        <w:pStyle w:val="Heading2"/>
      </w:pPr>
      <w:r>
        <w:t xml:space="preserve">Cover</w:t>
      </w:r>
    </w:p>
    <w:p>
      <w:pPr>
        <w:pStyle w:val="FirstParagraph"/>
      </w:pPr>
      <w:r>
        <w:rPr>
          <w:b/>
          <w:bCs/>
        </w:rPr>
        <w:t xml:space="preserve">Unit: Kinematics — Lesson 01: Vectors</w:t>
      </w:r>
      <w:r>
        <w:t xml:space="preserve"> </w:t>
      </w:r>
      <w:r>
        <w:t xml:space="preserve">East Meadow Schools × Valley Stream Central High School District</w:t>
      </w:r>
      <w:r>
        <w:t xml:space="preserve"> </w:t>
      </w:r>
      <w:r>
        <w:t xml:space="preserve">Strategy chips: RESTORATIVE CIRCLE, ACTIVE LEARNING</w: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introduces the</w:t>
      </w:r>
      <w:r>
        <w:t xml:space="preserve"> </w:t>
      </w:r>
      <w:r>
        <w:rPr>
          <w:i/>
          <w:iCs/>
        </w:rPr>
        <w:t xml:space="preserve">vector</w:t>
      </w:r>
      <w:r>
        <w:t xml:space="preserve"> </w:t>
      </w:r>
      <w:r>
        <w:t xml:space="preserve">nature of the quantities (force, acceleration) that HS-PS2-1 requires students to reason about. Vectors are revisited in Lessons 02–05 (motion quantities) and Lessons 06–09 (gravity, projectiles).</w:t>
      </w:r>
    </w:p>
    <w:bookmarkEnd w:id="10"/>
    <w:bookmarkStart w:id="12" w:name="phenomenon"/>
    <w:p>
      <w:pPr>
        <w:pStyle w:val="Heading3"/>
      </w:pPr>
      <w:r>
        <w:t xml:space="preserve">Phenomenon</w:t>
      </w:r>
    </w:p>
    <w:p>
      <w:pPr>
        <w:pStyle w:val="FirstParagraph"/>
      </w:pPr>
      <w:r>
        <w:t xml:space="preserve">Physics Classroom — Vector Animations:</w:t>
      </w:r>
      <w:r>
        <w:t xml:space="preserve"> </w:t>
      </w:r>
      <w:hyperlink r:id="rId11">
        <w:r>
          <w:rPr>
            <w:rStyle w:val="Hyperlink"/>
          </w:rPr>
          <w:t xml:space="preserve">http://www.physicsclassroom.com/mmedia/vectors/va.cfm</w:t>
        </w:r>
      </w:hyperlink>
    </w:p>
    <w:p>
      <w:pPr>
        <w:pStyle w:val="BodyText"/>
      </w:pPr>
      <w:r>
        <w:t xml:space="preserve">Two arrows added head-to-tail produce the same resultant regardless of which arrow comes first. The phenomenon invites students to notice that the order in which vectors are added does not change the result — a foothold for commutativity of vector addition.</w:t>
      </w:r>
    </w:p>
    <w:bookmarkEnd w:id="12"/>
    <w:bookmarkStart w:id="16" w:name="javalab-labs"/>
    <w:p>
      <w:pPr>
        <w:pStyle w:val="Heading3"/>
      </w:pPr>
      <w:r>
        <w:t xml:space="preserve">Javalab / Labs</w:t>
      </w:r>
    </w:p>
    <w:p>
      <w:pPr>
        <w:pStyle w:val="Compact"/>
        <w:numPr>
          <w:ilvl w:val="0"/>
          <w:numId w:val="1001"/>
        </w:numPr>
      </w:pPr>
      <w:r>
        <w:t xml:space="preserve">PhET Vector Addition Simulation:</w:t>
      </w:r>
      <w:r>
        <w:t xml:space="preserve"> </w:t>
      </w:r>
      <w:hyperlink r:id="rId13">
        <w:r>
          <w:rPr>
            <w:rStyle w:val="Hyperlink"/>
          </w:rPr>
          <w:t xml:space="preserve">https://phet.colorado.edu/en/simulations/vector-addition</w:t>
        </w:r>
      </w:hyperlink>
    </w:p>
    <w:p>
      <w:pPr>
        <w:pStyle w:val="Compact"/>
        <w:numPr>
          <w:ilvl w:val="0"/>
          <w:numId w:val="1001"/>
        </w:numPr>
      </w:pPr>
      <w:r>
        <w:t xml:space="preserve">Physics Classroom Vector Addition Interactive:</w:t>
      </w:r>
      <w:r>
        <w:t xml:space="preserve"> </w:t>
      </w:r>
      <w:hyperlink r:id="rId14">
        <w:r>
          <w:rPr>
            <w:rStyle w:val="Hyperlink"/>
          </w:rPr>
          <w:t xml:space="preserve">https://www.physicsclassroom.com/Physics-Interactives/Vectors-and-Projectiles/Vector-Addition/Vector-Addition-Interactive</w:t>
        </w:r>
      </w:hyperlink>
    </w:p>
    <w:p>
      <w:pPr>
        <w:pStyle w:val="Compact"/>
        <w:numPr>
          <w:ilvl w:val="0"/>
          <w:numId w:val="1001"/>
        </w:numPr>
      </w:pPr>
      <w:r>
        <w:t xml:space="preserve">Vector Golf (Google Doc course):</w:t>
      </w:r>
      <w:r>
        <w:t xml:space="preserve"> </w:t>
      </w:r>
      <w:hyperlink r:id="rId15">
        <w:r>
          <w:rPr>
            <w:rStyle w:val="Hyperlink"/>
          </w:rPr>
          <w:t xml:space="preserve">https://docs.google.com/document/d/1szBnR_mZA5WvECXAl-6wyQtQCxTnDcYVXrKPT8NvaFQ/edit?tab=t.0</w:t>
        </w:r>
      </w:hyperlink>
    </w:p>
    <w:bookmarkEnd w:id="16"/>
    <w:bookmarkStart w:id="18" w:name="assessments"/>
    <w:p>
      <w:pPr>
        <w:pStyle w:val="Heading3"/>
      </w:pPr>
      <w:r>
        <w:t xml:space="preserve">Assessments</w:t>
      </w:r>
    </w:p>
    <w:p>
      <w:pPr>
        <w:pStyle w:val="Compact"/>
        <w:numPr>
          <w:ilvl w:val="0"/>
          <w:numId w:val="1002"/>
        </w:numPr>
      </w:pPr>
      <w:r>
        <w:t xml:space="preserve">An Introduction to Free Body Diagrams (Better Lesson) — students use the vector nature of forces to draw free body diagrams:</w:t>
      </w:r>
      <w:r>
        <w:t xml:space="preserve"> </w:t>
      </w:r>
      <w:hyperlink r:id="rId17">
        <w:r>
          <w:rPr>
            <w:rStyle w:val="Hyperlink"/>
          </w:rPr>
          <w:t xml:space="preserve">http://betterlesson.com/lesson/630798/an-introduction-to-free-body-diagrams</w:t>
        </w:r>
      </w:hyperlink>
    </w:p>
    <w:bookmarkEnd w:id="18"/>
    <w:bookmarkEnd w:id="19"/>
    <w:bookmarkStart w:id="20" w:name="ccc-focus"/>
    <w:p>
      <w:pPr>
        <w:pStyle w:val="Heading2"/>
      </w:pPr>
      <w:r>
        <w:t xml:space="preserve">CCC Focus</w:t>
      </w:r>
    </w:p>
    <w:p>
      <w:pPr>
        <w:pStyle w:val="FirstParagraph"/>
      </w:pPr>
      <w:r>
        <w:rPr>
          <w:b/>
          <w:bCs/>
        </w:rPr>
        <w:t xml:space="preserve">Cause and Effect</w:t>
      </w:r>
      <w:r>
        <w:t xml:space="preserve"> </w:t>
      </w:r>
      <w:r>
        <w:t xml:space="preserve">— how the</w:t>
      </w:r>
      <w:r>
        <w:t xml:space="preserve"> </w:t>
      </w:r>
      <w:r>
        <w:rPr>
          <w:i/>
          <w:iCs/>
        </w:rPr>
        <w:t xml:space="preserve">direction</w:t>
      </w:r>
      <w:r>
        <w:t xml:space="preserve"> </w:t>
      </w:r>
      <w:r>
        <w:t xml:space="preserve">of a force changes motion, not just its magnitude. (One-line teacher read-aloud:</w:t>
      </w:r>
      <w:r>
        <w:t xml:space="preserve"> </w:t>
      </w:r>
      <w:r>
        <w:t xml:space="preserve">“When two pushes act on the same object, the</w:t>
      </w:r>
      <w:r>
        <w:t xml:space="preserve"> </w:t>
      </w:r>
      <w:r>
        <w:rPr>
          <w:i/>
          <w:iCs/>
        </w:rPr>
        <w:t xml:space="preserve">direction</w:t>
      </w:r>
      <w:r>
        <w:t xml:space="preserve"> </w:t>
      </w:r>
      <w:r>
        <w:t xml:space="preserve">each push points decides where the object ends up — not just how strong each push is.”</w:t>
      </w:r>
      <w:r>
        <w:t xml:space="preserve">)</w:t>
      </w:r>
    </w:p>
    <w:bookmarkEnd w:id="20"/>
    <w:bookmarkStart w:id="2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Item</w:t>
            </w:r>
          </w:p>
        </w:tc>
        <w:tc>
          <w:tcPr/>
          <w:p>
            <w:pPr>
              <w:pStyle w:val="Compact"/>
            </w:pPr>
            <w:r>
              <w:t xml:space="preserve">Where it shows up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Phenomenon section — Physics Classroom vector animation; teacher may substitute a Long Island sailing or driving example</w:t>
            </w:r>
          </w:p>
        </w:tc>
      </w:tr>
      <w:tr>
        <w:tc>
          <w:tcPr/>
          <w:p>
            <w:pPr>
              <w:pStyle w:val="Compact"/>
            </w:pPr>
            <w:r>
              <w:t xml:space="preserve">2</w:t>
            </w:r>
          </w:p>
        </w:tc>
        <w:tc>
          <w:tcPr/>
          <w:p>
            <w:pPr>
              <w:pStyle w:val="Compact"/>
            </w:pPr>
            <w:r>
              <w:t xml:space="preserve">Turn and Talk (2–3×)</w:t>
            </w:r>
          </w:p>
        </w:tc>
        <w:tc>
          <w:tcPr/>
          <w:p>
            <w:pPr>
              <w:pStyle w:val="Compact"/>
            </w:pPr>
            <w:r>
              <w:t xml:space="preserve">TT#1 after Notice &amp; Wonder; TT#2 after the interactive; optional silence-breaker prompt during Vector Golf stations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Initial Model block; Vector Golf stations; Revise Your Model block</w:t>
            </w:r>
          </w:p>
        </w:tc>
      </w:tr>
      <w:tr>
        <w:tc>
          <w:tcPr/>
          <w:p>
            <w:pPr>
              <w:pStyle w:val="Compact"/>
            </w:pPr>
            <w:r>
              <w:t xml:space="preserve">4</w:t>
            </w:r>
          </w:p>
        </w:tc>
        <w:tc>
          <w:tcPr/>
          <w:p>
            <w:pPr>
              <w:pStyle w:val="Compact"/>
            </w:pPr>
            <w:r>
              <w:t xml:space="preserve">CCC defined and used</w:t>
            </w:r>
          </w:p>
        </w:tc>
        <w:tc>
          <w:tcPr/>
          <w:p>
            <w:pPr>
              <w:pStyle w:val="Compact"/>
            </w:pPr>
            <w:r>
              <w:t xml:space="preserve">CCC Focus restated when launching the interactive (</w:t>
            </w:r>
            <w:r>
              <w:t xml:space="preserve">“we’re watching for</w:t>
            </w:r>
            <w:r>
              <w:t xml:space="preserve"> </w:t>
            </w:r>
            <w:r>
              <w:rPr>
                <w:i/>
                <w:iCs/>
              </w:rPr>
              <w:t xml:space="preserve">cause and effect</w:t>
            </w:r>
            <w:r>
              <w:t xml:space="preserve"> </w:t>
            </w:r>
            <w:r>
              <w:t xml:space="preserve">— how direction changes the result”</w:t>
            </w:r>
            <w:r>
              <w:t xml:space="preserve">)</w:t>
            </w:r>
          </w:p>
        </w:tc>
      </w:tr>
      <w:tr>
        <w:tc>
          <w:tcPr/>
          <w:p>
            <w:pPr>
              <w:pStyle w:val="Compact"/>
            </w:pPr>
            <w:r>
              <w:t xml:space="preserve">5</w:t>
            </w:r>
          </w:p>
        </w:tc>
        <w:tc>
          <w:tcPr/>
          <w:p>
            <w:pPr>
              <w:pStyle w:val="Compact"/>
            </w:pPr>
            <w:r>
              <w:t xml:space="preserve">ENL — ≤3 vocab, second half</w:t>
            </w:r>
          </w:p>
        </w:tc>
        <w:tc>
          <w:tcPr/>
          <w:p>
            <w:pPr>
              <w:pStyle w:val="Compact"/>
            </w:pPr>
            <w:r>
              <w:t xml:space="preserve">Key Vocabulary box appears after the investigation, second half of the lesson</w:t>
            </w:r>
          </w:p>
        </w:tc>
      </w:tr>
      <w:tr>
        <w:tc>
          <w:tcPr/>
          <w:p>
            <w:pPr>
              <w:pStyle w:val="Compact"/>
            </w:pPr>
            <w:r>
              <w:t xml:space="preserve">6</w:t>
            </w:r>
          </w:p>
        </w:tc>
        <w:tc>
          <w:tcPr/>
          <w:p>
            <w:pPr>
              <w:pStyle w:val="Compact"/>
            </w:pPr>
            <w:r>
              <w:t xml:space="preserve">Revisit phenomenon with evidence</w:t>
            </w:r>
          </w:p>
        </w:tc>
        <w:tc>
          <w:tcPr/>
          <w:p>
            <w:pPr>
              <w:pStyle w:val="Compact"/>
            </w:pPr>
            <w:r>
              <w:t xml:space="preserve">Return to the Phenomenon section asks students to re-predict the original animation using today’s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section — sentence frames, word-choice box, pre-drawn first arrow on Vector Golf scaffolds</w:t>
            </w:r>
          </w:p>
        </w:tc>
      </w:tr>
      <w:tr>
        <w:tc>
          <w:tcPr/>
          <w:p>
            <w:pPr>
              <w:pStyle w:val="Compact"/>
            </w:pPr>
            <w:r>
              <w:t xml:space="preserve">8</w:t>
            </w:r>
          </w:p>
        </w:tc>
        <w:tc>
          <w:tcPr/>
          <w:p>
            <w:pPr>
              <w:pStyle w:val="Compact"/>
            </w:pPr>
            <w:r>
              <w:t xml:space="preserve">Assessment check</w:t>
            </w:r>
          </w:p>
        </w:tc>
        <w:tc>
          <w:tcPr/>
          <w:p>
            <w:pPr>
              <w:pStyle w:val="Compact"/>
            </w:pPr>
            <w:r>
              <w:t xml:space="preserve">Exit Ticket: boat 5 km east, 12 km north — find resultant magnitude and direction</w:t>
            </w:r>
          </w:p>
        </w:tc>
      </w:tr>
    </w:tbl>
    <w:bookmarkEnd w:id="21"/>
    <w:bookmarkStart w:id="22" w:name="opening-connection"/>
    <w:p>
      <w:pPr>
        <w:pStyle w:val="Heading2"/>
      </w:pPr>
      <w:r>
        <w:t xml:space="preserve">Opening Connection</w:t>
      </w:r>
    </w:p>
    <w:p>
      <w:pPr>
        <w:pStyle w:val="FirstParagraph"/>
      </w:pPr>
      <w:r>
        <w:t xml:space="preserve">Pick one (SEL):</w:t>
      </w:r>
      <w:r>
        <w:t xml:space="preserve"> </w:t>
      </w:r>
      <w:r>
        <w:t xml:space="preserve">- 1-question check-in (e.g.,</w:t>
      </w:r>
      <w:r>
        <w:t xml:space="preserve"> </w:t>
      </w:r>
      <w:r>
        <w:t xml:space="preserve">“On a scale of 1–5, how’s your week going?”</w:t>
      </w:r>
      <w:r>
        <w:t xml:space="preserve">)</w:t>
      </w:r>
      <w:r>
        <w:t xml:space="preserve"> </w:t>
      </w:r>
      <w:r>
        <w:t xml:space="preserve">-</w:t>
      </w:r>
      <w:r>
        <w:t xml:space="preserve"> </w:t>
      </w:r>
      <w:r>
        <w:t xml:space="preserve">“Name something you noticed since last class”</w:t>
      </w:r>
      <w:r>
        <w:t xml:space="preserve"> </w:t>
      </w:r>
      <w:r>
        <w:t xml:space="preserve">- Quick gratitude / effort acknowledgment</w:t>
      </w:r>
    </w:p>
    <w:p>
      <w:pPr>
        <w:pStyle w:val="BodyText"/>
      </w:pPr>
      <w:r>
        <w:rPr>
          <w:b/>
          <w:bCs/>
        </w:rPr>
        <w:t xml:space="preserve">Restorative Circle (unit opener) — 2 min.</w:t>
      </w:r>
      <w:r>
        <w:t xml:space="preserve"> </w:t>
      </w:r>
      <w:r>
        <w:t xml:space="preserve">Pass a small object (a ball, a marker — anything that travels by hand). Each student answers:</w:t>
      </w:r>
      <w:r>
        <w:t xml:space="preserve"> </w:t>
      </w:r>
      <w:r>
        <w:t xml:space="preserve">“What is one experience you’ve had with motion this week?”</w:t>
      </w:r>
      <w:r>
        <w:t xml:space="preserve"> </w:t>
      </w:r>
      <w:r>
        <w:t xml:space="preserve">Honor pass-rights; no follow-up questions.</w:t>
      </w:r>
    </w:p>
    <w:bookmarkEnd w:id="22"/>
    <w:bookmarkStart w:id="23" w:name="at-a-glance"/>
    <w:p>
      <w:pPr>
        <w:pStyle w:val="Heading2"/>
      </w:pPr>
      <w:r>
        <w:t xml:space="preserve">At-a-Glance</w:t>
      </w:r>
    </w:p>
    <w:p>
      <w:pPr>
        <w:pStyle w:val="Compact"/>
        <w:numPr>
          <w:ilvl w:val="0"/>
          <w:numId w:val="1003"/>
        </w:numPr>
      </w:pPr>
      <w:r>
        <w:rPr>
          <w:b/>
          <w:bCs/>
        </w:rPr>
        <w:t xml:space="preserve">Duration:</w:t>
      </w:r>
      <w:r>
        <w:t xml:space="preserve"> </w:t>
      </w:r>
      <w:r>
        <w:t xml:space="preserve">42 minutes (1 period)</w:t>
      </w:r>
    </w:p>
    <w:p>
      <w:pPr>
        <w:pStyle w:val="Compact"/>
        <w:numPr>
          <w:ilvl w:val="0"/>
          <w:numId w:val="1003"/>
        </w:numPr>
      </w:pPr>
      <w:r>
        <w:rPr>
          <w:b/>
          <w:bCs/>
        </w:rPr>
        <w:t xml:space="preserve">Materials:</w:t>
      </w:r>
      <w:r>
        <w:t xml:space="preserve"> </w:t>
      </w:r>
      <w:r>
        <w:t xml:space="preserve">Graph paper or vector grids (1 per student); rulers (1 per pair); printed copies of the Vector Golf course (4 stations × 1 copy each); chart paper for VNPS-style station work; colored markers (purple + blue per group, mirroring the brand palette); the slider-based interactive on each device or projected.</w:t>
      </w:r>
    </w:p>
    <w:p>
      <w:pPr>
        <w:pStyle w:val="Compact"/>
        <w:numPr>
          <w:ilvl w:val="0"/>
          <w:numId w:val="1003"/>
        </w:numPr>
      </w:pPr>
      <w:r>
        <w:rPr>
          <w:b/>
          <w:bCs/>
        </w:rPr>
        <w:t xml:space="preserve">Safety:</w:t>
      </w:r>
      <w:r>
        <w:t xml:space="preserve"> </w:t>
      </w:r>
      <w:r>
        <w:t xml:space="preserve">None.</w:t>
      </w:r>
    </w:p>
    <w:p>
      <w:pPr>
        <w:pStyle w:val="Compact"/>
        <w:numPr>
          <w:ilvl w:val="0"/>
          <w:numId w:val="1003"/>
        </w:numPr>
      </w:pPr>
      <w:r>
        <w:rPr>
          <w:b/>
          <w:bCs/>
        </w:rPr>
        <w:t xml:space="preserve">Prior knowledge:</w:t>
      </w:r>
      <w:r>
        <w:t xml:space="preserve"> </w:t>
      </w:r>
      <w:r>
        <w:t xml:space="preserve">Adding signed numbers; reading a coordinate grid; the difference between a measurement (number) and a measurement with direction (e.g.,</w:t>
      </w:r>
      <w:r>
        <w:t xml:space="preserve"> </w:t>
      </w:r>
      <w:r>
        <w:t xml:space="preserve">“30 mph”</w:t>
      </w:r>
      <w:r>
        <w:t xml:space="preserve"> </w:t>
      </w:r>
      <w:r>
        <w:t xml:space="preserve">vs</w:t>
      </w:r>
      <w:r>
        <w:t xml:space="preserve"> </w:t>
      </w:r>
      <w:r>
        <w:t xml:space="preserve">“30 mph north”</w:t>
      </w:r>
      <w:r>
        <w:t xml:space="preserve">).</w:t>
      </w:r>
    </w:p>
    <w:bookmarkEnd w:id="23"/>
    <w:bookmarkStart w:id="24" w:name="lesson-objectives"/>
    <w:p>
      <w:pPr>
        <w:pStyle w:val="Heading2"/>
      </w:pPr>
      <w:r>
        <w:t xml:space="preserve">Lesson Objectives</w:t>
      </w:r>
    </w:p>
    <w:p>
      <w:pPr>
        <w:pStyle w:val="FirstParagraph"/>
      </w:pPr>
      <w:r>
        <w:t xml:space="preserve">I can…</w:t>
      </w:r>
      <w:r>
        <w:t xml:space="preserve"> </w:t>
      </w:r>
      <w:r>
        <w:t xml:space="preserve">- Describe a vector quantity using both</w:t>
      </w:r>
      <w:r>
        <w:t xml:space="preserve"> </w:t>
      </w:r>
      <w:r>
        <w:rPr>
          <w:b/>
          <w:bCs/>
        </w:rPr>
        <w:t xml:space="preserve">magnitude</w:t>
      </w:r>
      <w:r>
        <w:t xml:space="preserve"> </w:t>
      </w:r>
      <w:r>
        <w:t xml:space="preserve">and</w:t>
      </w:r>
      <w:r>
        <w:t xml:space="preserve"> </w:t>
      </w:r>
      <w:r>
        <w:rPr>
          <w:b/>
          <w:bCs/>
        </w:rPr>
        <w:t xml:space="preserve">direction</w:t>
      </w:r>
      <w:r>
        <w:t xml:space="preserve">.</w:t>
      </w:r>
      <w:r>
        <w:t xml:space="preserve"> </w:t>
      </w:r>
      <w:r>
        <w:t xml:space="preserve">- Add two vectors graphically using the head-to-tail method.</w:t>
      </w:r>
      <w:r>
        <w:t xml:space="preserve"> </w:t>
      </w:r>
      <w:r>
        <w:t xml:space="preserve">- Decompose a vector into its x- and y-components.</w:t>
      </w:r>
    </w:p>
    <w:bookmarkEnd w:id="24"/>
    <w:bookmarkStart w:id="25" w:name="agenda"/>
    <w:p>
      <w:pPr>
        <w:pStyle w:val="Heading2"/>
      </w:pPr>
      <w:r>
        <w:t xml:space="preserve">Agenda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Notes</w:t>
            </w:r>
          </w:p>
        </w:tc>
      </w:tr>
      <w:tr>
        <w:tc>
          <w:tcPr/>
          <w:p>
            <w:pPr>
              <w:pStyle w:val="Compact"/>
            </w:pPr>
            <w:r>
              <w:t xml:space="preserve">0–3</w:t>
            </w:r>
          </w:p>
        </w:tc>
        <w:tc>
          <w:tcPr/>
          <w:p>
            <w:pPr>
              <w:pStyle w:val="Compact"/>
            </w:pPr>
            <w:r>
              <w:t xml:space="preserve">Opening Connection (SEL)</w:t>
            </w:r>
          </w:p>
        </w:tc>
        <w:tc>
          <w:tcPr/>
          <w:p>
            <w:pPr>
              <w:pStyle w:val="Compact"/>
            </w:pPr>
            <w:r>
              <w:t xml:space="preserve">Restorative Circle (unit opener); see Strategy Spotlight</w:t>
            </w:r>
          </w:p>
        </w:tc>
      </w:tr>
      <w:tr>
        <w:tc>
          <w:tcPr/>
          <w:p>
            <w:pPr>
              <w:pStyle w:val="Compact"/>
            </w:pPr>
            <w:r>
              <w:t xml:space="preserve">3–7</w:t>
            </w:r>
          </w:p>
        </w:tc>
        <w:tc>
          <w:tcPr/>
          <w:p>
            <w:pPr>
              <w:pStyle w:val="Compact"/>
            </w:pPr>
            <w:r>
              <w:t xml:space="preserve">Phenomenon hook</w:t>
            </w:r>
          </w:p>
        </w:tc>
        <w:tc>
          <w:tcPr/>
          <w:p>
            <w:pPr>
              <w:pStyle w:val="Compact"/>
            </w:pPr>
            <w:r>
              <w:t xml:space="preserve">Show the Physics Classroom vector animation; let it loop silently</w:t>
            </w:r>
          </w:p>
        </w:tc>
      </w:tr>
      <w:tr>
        <w:tc>
          <w:tcPr/>
          <w:p>
            <w:pPr>
              <w:pStyle w:val="Compact"/>
            </w:pPr>
            <w:r>
              <w:t xml:space="preserve">7–12</w:t>
            </w:r>
          </w:p>
        </w:tc>
        <w:tc>
          <w:tcPr/>
          <w:p>
            <w:pPr>
              <w:pStyle w:val="Compact"/>
            </w:pPr>
            <w:r>
              <w:t xml:space="preserve">Notice &amp; Wonder + Turn and Talk #1</w:t>
            </w:r>
          </w:p>
        </w:tc>
        <w:tc>
          <w:tcPr/>
          <w:p>
            <w:pPr>
              <w:pStyle w:val="Compact"/>
            </w:pPr>
            <w:r>
              <w:t xml:space="preserve">Capture both columns on chart paper or shared doc</w:t>
            </w:r>
          </w:p>
        </w:tc>
      </w:tr>
      <w:tr>
        <w:tc>
          <w:tcPr/>
          <w:p>
            <w:pPr>
              <w:pStyle w:val="Compact"/>
            </w:pPr>
            <w:r>
              <w:t xml:space="preserve">12–17</w:t>
            </w:r>
          </w:p>
        </w:tc>
        <w:tc>
          <w:tcPr/>
          <w:p>
            <w:pPr>
              <w:pStyle w:val="Compact"/>
            </w:pPr>
            <w:r>
              <w:t xml:space="preserve">Initial Model</w:t>
            </w:r>
          </w:p>
        </w:tc>
        <w:tc>
          <w:tcPr/>
          <w:p>
            <w:pPr>
              <w:pStyle w:val="Compact"/>
            </w:pPr>
            <w:r>
              <w:t xml:space="preserve">Each student sketches:</w:t>
            </w:r>
            <w:r>
              <w:t xml:space="preserve"> </w:t>
            </w:r>
            <w:r>
              <w:t xml:space="preserve">“How would I tell someone where the second arrow ends?”</w:t>
            </w:r>
          </w:p>
        </w:tc>
      </w:tr>
      <w:tr>
        <w:tc>
          <w:tcPr/>
          <w:p>
            <w:pPr>
              <w:pStyle w:val="Compact"/>
            </w:pPr>
            <w:r>
              <w:t xml:space="preserve">17–32</w:t>
            </w:r>
          </w:p>
        </w:tc>
        <w:tc>
          <w:tcPr/>
          <w:p>
            <w:pPr>
              <w:pStyle w:val="Compact"/>
            </w:pPr>
            <w:r>
              <w:t xml:space="preserve">Investigate — Vector Golf stations</w:t>
            </w:r>
          </w:p>
        </w:tc>
        <w:tc>
          <w:tcPr/>
          <w:p>
            <w:pPr>
              <w:pStyle w:val="Compact"/>
            </w:pPr>
            <w:r>
              <w:t xml:space="preserve">4 stations, 3 students each, 3-min rotations; chart paper at standing height (VNPS lite)</w:t>
            </w:r>
          </w:p>
        </w:tc>
      </w:tr>
      <w:tr>
        <w:tc>
          <w:tcPr/>
          <w:p>
            <w:pPr>
              <w:pStyle w:val="Compact"/>
            </w:pPr>
            <w:r>
              <w:t xml:space="preserve">32–37</w:t>
            </w:r>
          </w:p>
        </w:tc>
        <w:tc>
          <w:tcPr/>
          <w:p>
            <w:pPr>
              <w:pStyle w:val="Compact"/>
            </w:pPr>
            <w:r>
              <w:t xml:space="preserve">Sense-making + Turn and Talk #2</w:t>
            </w:r>
          </w:p>
        </w:tc>
        <w:tc>
          <w:tcPr/>
          <w:p>
            <w:pPr>
              <w:pStyle w:val="Compact"/>
            </w:pPr>
            <w:r>
              <w:t xml:space="preserve">Pair-share the resultant for a 3,4 vector; debrief Pythagorean reasoning</w:t>
            </w:r>
          </w:p>
        </w:tc>
      </w:tr>
      <w:tr>
        <w:tc>
          <w:tcPr/>
          <w:p>
            <w:pPr>
              <w:pStyle w:val="Compact"/>
            </w:pPr>
            <w:r>
              <w:t xml:space="preserve">37–40</w:t>
            </w:r>
          </w:p>
        </w:tc>
        <w:tc>
          <w:tcPr/>
          <w:p>
            <w:pPr>
              <w:pStyle w:val="Compact"/>
            </w:pPr>
            <w:r>
              <w:t xml:space="preserve">Vocabulary + Revise Model</w:t>
            </w:r>
          </w:p>
        </w:tc>
        <w:tc>
          <w:tcPr/>
          <w:p>
            <w:pPr>
              <w:pStyle w:val="Compact"/>
            </w:pPr>
            <w:r>
              <w:t xml:space="preserve">Introduce</w:t>
            </w:r>
            <w:r>
              <w:t xml:space="preserve"> </w:t>
            </w:r>
            <w:r>
              <w:rPr>
                <w:b/>
                <w:bCs/>
              </w:rPr>
              <w:t xml:space="preserve">vector / magnitude / direction</w:t>
            </w:r>
            <w:r>
              <w:t xml:space="preserve"> </w:t>
            </w:r>
            <w:r>
              <w:t xml:space="preserve">in the second half; students update their initial sketch</w:t>
            </w:r>
          </w:p>
        </w:tc>
      </w:tr>
      <w:tr>
        <w:tc>
          <w:tcPr/>
          <w:p>
            <w:pPr>
              <w:pStyle w:val="Compact"/>
            </w:pPr>
            <w:r>
              <w:t xml:space="preserve">40–42</w:t>
            </w:r>
          </w:p>
        </w:tc>
        <w:tc>
          <w:tcPr/>
          <w:p>
            <w:pPr>
              <w:pStyle w:val="Compact"/>
            </w:pPr>
            <w:r>
              <w:t xml:space="preserve">Exit Ticket + Closing Reflection</w:t>
            </w:r>
          </w:p>
        </w:tc>
        <w:tc>
          <w:tcPr/>
          <w:p>
            <w:pPr>
              <w:pStyle w:val="Compact"/>
            </w:pPr>
            <w:r>
              <w:t xml:space="preserve">Boat problem (5 km E + 12 km N); reflection prompt</w:t>
            </w:r>
          </w:p>
        </w:tc>
      </w:tr>
    </w:tbl>
    <w:bookmarkEnd w:id="25"/>
    <w:bookmarkStart w:id="26" w:name="discussion-prompts"/>
    <w:p>
      <w:pPr>
        <w:pStyle w:val="Heading2"/>
      </w:pPr>
      <w:r>
        <w:t xml:space="preserve">Discussion Prompts</w:t>
      </w:r>
    </w:p>
    <w:p>
      <w:pPr>
        <w:pStyle w:val="Compact"/>
        <w:numPr>
          <w:ilvl w:val="0"/>
          <w:numId w:val="1004"/>
        </w:numPr>
      </w:pPr>
      <w:r>
        <w:t xml:space="preserve">“When two vectors point the same direction, what happens to their resultant? When they point in opposite directions? When they’re perpendicular?”</w:t>
      </w:r>
    </w:p>
    <w:p>
      <w:pPr>
        <w:pStyle w:val="Compact"/>
        <w:numPr>
          <w:ilvl w:val="0"/>
          <w:numId w:val="1004"/>
        </w:numPr>
      </w:pPr>
      <w:r>
        <w:rPr>
          <w:i/>
          <w:iCs/>
        </w:rPr>
        <w:t xml:space="preserve">Sample student response:</w:t>
      </w:r>
      <w:r>
        <w:t xml:space="preserve"> </w:t>
      </w:r>
      <w:r>
        <w:t xml:space="preserve">“When perpendicular, the resultant is the diagonal of a rectangle, so we use Pythagoras to get its size.”</w:t>
      </w:r>
    </w:p>
    <w:p>
      <w:pPr>
        <w:pStyle w:val="Compact"/>
        <w:numPr>
          <w:ilvl w:val="0"/>
          <w:numId w:val="1004"/>
        </w:numPr>
      </w:pPr>
      <w:r>
        <w:t xml:space="preserve">“Could two different pairs of vectors give the same resultant? How would you draw an example?”</w:t>
      </w:r>
    </w:p>
    <w:p>
      <w:pPr>
        <w:pStyle w:val="Compact"/>
        <w:numPr>
          <w:ilvl w:val="0"/>
          <w:numId w:val="1004"/>
        </w:numPr>
      </w:pPr>
      <w:r>
        <w:t xml:space="preserve">“If you swap A and B in head-to-tail addition, does the resultant change? Why or why not?”</w:t>
      </w:r>
    </w:p>
    <w:bookmarkEnd w:id="26"/>
    <w:bookmarkStart w:id="27" w:name="common-misconceptions"/>
    <w:p>
      <w:pPr>
        <w:pStyle w:val="Heading2"/>
      </w:pPr>
      <w:r>
        <w:t xml:space="preserve">Common Misconceptions</w:t>
      </w:r>
    </w:p>
    <w:p>
      <w:pPr>
        <w:pStyle w:val="Compact"/>
        <w:numPr>
          <w:ilvl w:val="0"/>
          <w:numId w:val="1005"/>
        </w:numPr>
      </w:pPr>
      <w:r>
        <w:rPr>
          <w:b/>
          <w:bCs/>
        </w:rPr>
        <w:t xml:space="preserve">Misconception:</w:t>
      </w:r>
      <w:r>
        <w:t xml:space="preserve"> </w:t>
      </w:r>
      <w:r>
        <w:t xml:space="preserve">“Vectors with bigger numbers are always longer.”</w:t>
      </w:r>
      <w:r>
        <w:t xml:space="preserve"> </w:t>
      </w:r>
      <w:r>
        <w:t xml:space="preserve">→</w:t>
      </w:r>
      <w:r>
        <w:t xml:space="preserve"> </w:t>
      </w:r>
      <w:r>
        <w:rPr>
          <w:b/>
          <w:bCs/>
        </w:rPr>
        <w:t xml:space="preserve">Correction:</w:t>
      </w:r>
      <w:r>
        <w:t xml:space="preserve"> </w:t>
      </w:r>
      <w:r>
        <w:t xml:space="preserve">Two vectors of equal magnitude but different directions add to</w:t>
      </w:r>
      <w:r>
        <w:t xml:space="preserve"> </w:t>
      </w:r>
      <w:r>
        <w:rPr>
          <w:i/>
          <w:iCs/>
        </w:rPr>
        <w:t xml:space="preserve">different</w:t>
      </w:r>
      <w:r>
        <w:t xml:space="preserve"> </w:t>
      </w:r>
      <w:r>
        <w:t xml:space="preserve">resultants — direction matters as much as magnitude.</w:t>
      </w:r>
    </w:p>
    <w:p>
      <w:pPr>
        <w:pStyle w:val="Compact"/>
        <w:numPr>
          <w:ilvl w:val="0"/>
          <w:numId w:val="1005"/>
        </w:numPr>
      </w:pPr>
      <w:r>
        <w:rPr>
          <w:b/>
          <w:bCs/>
        </w:rPr>
        <w:t xml:space="preserve">Misconception:</w:t>
      </w:r>
      <w:r>
        <w:t xml:space="preserve"> </w:t>
      </w:r>
      <w:r>
        <w:t xml:space="preserve">“Adding vectors is the same as adding their magnitudes.”</w:t>
      </w:r>
      <w:r>
        <w:t xml:space="preserve"> </w:t>
      </w:r>
      <w:r>
        <w:t xml:space="preserve">→</w:t>
      </w:r>
      <w:r>
        <w:t xml:space="preserve"> </w:t>
      </w:r>
      <w:r>
        <w:rPr>
          <w:b/>
          <w:bCs/>
        </w:rPr>
        <w:t xml:space="preserve">Correction:</w:t>
      </w:r>
      <w:r>
        <w:t xml:space="preserve"> </w:t>
      </w:r>
      <w:r>
        <w:t xml:space="preserve">That is only true when they point in exactly the same direction. In every other case the resultant magnitude is</w:t>
      </w:r>
      <w:r>
        <w:t xml:space="preserve"> </w:t>
      </w:r>
      <w:r>
        <w:rPr>
          <w:i/>
          <w:iCs/>
        </w:rPr>
        <w:t xml:space="preserve">less</w:t>
      </w:r>
      <w:r>
        <w:t xml:space="preserve"> </w:t>
      </w:r>
      <w:r>
        <w:t xml:space="preserve">than the sum (and equals zero when they cancel).</w:t>
      </w:r>
    </w:p>
    <w:p>
      <w:pPr>
        <w:pStyle w:val="Compact"/>
        <w:numPr>
          <w:ilvl w:val="0"/>
          <w:numId w:val="1005"/>
        </w:numPr>
      </w:pPr>
      <w:r>
        <w:rPr>
          <w:b/>
          <w:bCs/>
        </w:rPr>
        <w:t xml:space="preserve">Misconception:</w:t>
      </w:r>
      <w:r>
        <w:t xml:space="preserve"> </w:t>
      </w:r>
      <w:r>
        <w:t xml:space="preserve">“The resultant is always longer than each input vector.”</w:t>
      </w:r>
      <w:r>
        <w:t xml:space="preserve"> </w:t>
      </w:r>
      <w:r>
        <w:t xml:space="preserve">→</w:t>
      </w:r>
      <w:r>
        <w:t xml:space="preserve"> </w:t>
      </w:r>
      <w:r>
        <w:rPr>
          <w:b/>
          <w:bCs/>
        </w:rPr>
        <w:t xml:space="preserve">Correction:</w:t>
      </w:r>
      <w:r>
        <w:t xml:space="preserve"> </w:t>
      </w:r>
      <w:r>
        <w:t xml:space="preserve">Not when the vectors point opposite directions. The resultant can be shorter than either input, or even zero.</w:t>
      </w:r>
    </w:p>
    <w:bookmarkEnd w:id="27"/>
    <w:bookmarkStart w:id="28" w:name="access-differentiation"/>
    <w:p>
      <w:pPr>
        <w:pStyle w:val="Heading2"/>
      </w:pPr>
      <w:r>
        <w:t xml:space="preserve">Access &amp; Differentiation</w:t>
      </w:r>
    </w:p>
    <w:p>
      <w:pPr>
        <w:pStyle w:val="Compact"/>
        <w:numPr>
          <w:ilvl w:val="0"/>
          <w:numId w:val="1006"/>
        </w:numPr>
      </w:pPr>
      <w:r>
        <w:rPr>
          <w:b/>
          <w:bCs/>
        </w:rPr>
        <w:t xml:space="preserve">ELL/ENL supports:</w:t>
      </w:r>
      <w:r>
        <w:t xml:space="preserve"> </w:t>
      </w:r>
      <w:r>
        <w:t xml:space="preserve">Sentence frames — *“The resultant of A + B has magnitude ___ because ___.”* and *“Adding A and B gives a resultant that points ___.”* Word-choice box: {magnitude, direction, resultant, components, scalar}. Visual-first framing — show two arrows on a grid before introducing the word</w:t>
      </w:r>
      <w:r>
        <w:t xml:space="preserve"> </w:t>
      </w:r>
      <w:r>
        <w:rPr>
          <w:i/>
          <w:iCs/>
        </w:rPr>
        <w:t xml:space="preserve">vector</w:t>
      </w:r>
      <w:r>
        <w:t xml:space="preserve">. Bilingual glossary slot in student notebook for the three vocabulary words.</w:t>
      </w:r>
    </w:p>
    <w:p>
      <w:pPr>
        <w:pStyle w:val="Compact"/>
        <w:numPr>
          <w:ilvl w:val="0"/>
          <w:numId w:val="1006"/>
        </w:numPr>
      </w:pPr>
      <w:r>
        <w:rPr>
          <w:b/>
          <w:bCs/>
        </w:rPr>
        <w:t xml:space="preserve">IEP/SPED supports:</w:t>
      </w:r>
      <w:r>
        <w:t xml:space="preserve"> </w:t>
      </w:r>
      <w:r>
        <w:t xml:space="preserve">Use the printed Vector Golf course as a chunked, scaffolded organizer; pre-draw the first arrow for each problem so students start from the head of an existing arrow. Provide a step list: (1) draw A from origin, (2) draw B from head of A, (3) draw R from origin to head of B. Allow oral responses for the exit ticket.</w:t>
      </w:r>
    </w:p>
    <w:p>
      <w:pPr>
        <w:pStyle w:val="Compact"/>
        <w:numPr>
          <w:ilvl w:val="0"/>
          <w:numId w:val="1006"/>
        </w:numPr>
      </w:pPr>
      <w:r>
        <w:rPr>
          <w:b/>
          <w:bCs/>
        </w:rPr>
        <w:t xml:space="preserve">Extensions:</w:t>
      </w:r>
      <w:r>
        <w:t xml:space="preserve"> </w:t>
      </w:r>
      <w:r>
        <w:t xml:space="preserve">After Vector Golf, prompt advanced students to find the</w:t>
      </w:r>
      <w:r>
        <w:t xml:space="preserve"> </w:t>
      </w:r>
      <w:r>
        <w:rPr>
          <w:i/>
          <w:iCs/>
        </w:rPr>
        <w:t xml:space="preserve">minimum</w:t>
      </w:r>
      <w:r>
        <w:t xml:space="preserve"> </w:t>
      </w:r>
      <w:r>
        <w:t xml:space="preserve">number of vector additions to reach the target — introduces optimization thinking and previews path-planning intuition. Or: ask them to invent a 3-vector course where the resultant is exactly zero.</w:t>
      </w:r>
    </w:p>
    <w:bookmarkEnd w:id="28"/>
    <w:bookmarkStart w:id="29" w:name="strategy-spotlight"/>
    <w:p>
      <w:pPr>
        <w:pStyle w:val="Heading2"/>
      </w:pPr>
      <w:r>
        <w:t xml:space="preserve">Strategy Spotlight</w:t>
      </w:r>
    </w:p>
    <w:p>
      <w:pPr>
        <w:pStyle w:val="FirstParagraph"/>
      </w:pPr>
      <w:r>
        <w:rPr>
          <w:b/>
          <w:bCs/>
        </w:rPr>
        <w:t xml:space="preserve">Restorative Circle (unit opener, 2 min)</w:t>
      </w:r>
      <w:r>
        <w:t xml:space="preserve"> </w:t>
      </w:r>
      <w:r>
        <w:t xml:space="preserve">— As students arrive, arrange chairs in a circle (or have students stand in a circle if the room is tight). Pass a small object hand-to-hand. Each student answers a single prompt:</w:t>
      </w:r>
      <w:r>
        <w:t xml:space="preserve"> </w:t>
      </w:r>
      <w:r>
        <w:rPr>
          <w:i/>
          <w:iCs/>
        </w:rPr>
        <w:t xml:space="preserve">“What is one experience you’ve had with motion this week?”</w:t>
      </w:r>
      <w:r>
        <w:t xml:space="preserve"> </w:t>
      </w:r>
      <w:r>
        <w:t xml:space="preserve">Pass-rights are honored — students may say</w:t>
      </w:r>
      <w:r>
        <w:t xml:space="preserve"> </w:t>
      </w:r>
      <w:r>
        <w:t xml:space="preserve">“pass”</w:t>
      </w:r>
      <w:r>
        <w:t xml:space="preserve"> </w:t>
      </w:r>
      <w:r>
        <w:t xml:space="preserve">without explanation. Do not respond to or evaluate any answer; nod, pass to the next student. The goal is community-building before the unit’s content load begins. Close the circle by inviting one volunteer to reflect:</w:t>
      </w:r>
      <w:r>
        <w:t xml:space="preserve"> </w:t>
      </w:r>
      <w:r>
        <w:t xml:space="preserve">“What’s something you noticed about what people shared?”</w:t>
      </w:r>
    </w:p>
    <w:p>
      <w:pPr>
        <w:pStyle w:val="BodyText"/>
      </w:pPr>
      <w:r>
        <w:rPr>
          <w:b/>
          <w:bCs/>
        </w:rPr>
        <w:t xml:space="preserve">Active Learning — Vector Golf stations (15 min)</w:t>
      </w:r>
      <w:r>
        <w:t xml:space="preserve"> </w:t>
      </w:r>
      <w:r>
        <w:t xml:space="preserve">— Set up four stations around the room, each with a different</w:t>
      </w:r>
      <w:r>
        <w:t xml:space="preserve"> </w:t>
      </w:r>
      <w:r>
        <w:t xml:space="preserve">“course”</w:t>
      </w:r>
      <w:r>
        <w:t xml:space="preserve"> </w:t>
      </w:r>
      <w:r>
        <w:t xml:space="preserve">(a starting point and a target on a coordinate grid). Each station has chart paper at standing height (vertical non-permanent surface lite). Form random groups of 3 (use a deck of cards: same-suit groups). Three-minute rotations. At each station, the group must use head-to-tail vector addition to plot a sequence of arrows that lands on the target. They leave their solution on the chart paper for the next group to verify. Walk the room and ask the discussion prompts above; resist solving — let groups argue.</w:t>
      </w:r>
    </w:p>
    <w:bookmarkEnd w:id="29"/>
    <w:bookmarkStart w:id="30" w:name="exit-ticket-closing-reflection"/>
    <w:p>
      <w:pPr>
        <w:pStyle w:val="Heading2"/>
      </w:pPr>
      <w:r>
        <w:t xml:space="preserve">Exit Ticket + Closing Reflection</w:t>
      </w:r>
    </w:p>
    <w:p>
      <w:pPr>
        <w:pStyle w:val="FirstParagraph"/>
      </w:pPr>
      <w:r>
        <w:t xml:space="preserve">A boat sails 5 km east, then 12 km north. Sketch the resultant displacement on a grid. Find its magnitude. Show one sentence of reasoning.</w:t>
      </w:r>
    </w:p>
    <w:p>
      <w:pPr>
        <w:pStyle w:val="BodyText"/>
      </w:pPr>
      <w:r>
        <w:rPr>
          <w:i/>
          <w:iCs/>
        </w:rPr>
        <w:t xml:space="preserve">Closing reflection (30 sec, on the same exit slip):</w:t>
      </w:r>
      <w:r>
        <w:t xml:space="preserve"> </w:t>
      </w:r>
      <w:r>
        <w:t xml:space="preserve">What is one thing that surprised you today? Who helped you make sense of something?</w:t>
      </w:r>
    </w:p>
    <w:bookmarkEnd w:id="30"/>
    <w:bookmarkStart w:id="31" w:name="companion-materials"/>
    <w:p>
      <w:pPr>
        <w:pStyle w:val="Heading2"/>
      </w:pPr>
      <w:r>
        <w:t xml:space="preserve">Companion Materials</w:t>
      </w:r>
    </w:p>
    <w:p>
      <w:pPr>
        <w:pStyle w:val="Compact"/>
        <w:numPr>
          <w:ilvl w:val="0"/>
          <w:numId w:val="1007"/>
        </w:numPr>
      </w:pPr>
      <w:r>
        <w:rPr>
          <w:rStyle w:val="VerbatimChar"/>
        </w:rPr>
        <w:t xml:space="preserve">Student_Exploration.html</w:t>
      </w:r>
      <w:r>
        <w:t xml:space="preserve"> </w:t>
      </w:r>
      <w:r>
        <w:t xml:space="preserve">(rich interactive)</w:t>
      </w:r>
    </w:p>
    <w:p>
      <w:pPr>
        <w:pStyle w:val="Compact"/>
        <w:numPr>
          <w:ilvl w:val="0"/>
          <w:numId w:val="1007"/>
        </w:numPr>
      </w:pPr>
      <w:r>
        <w:rPr>
          <w:rStyle w:val="VerbatimChar"/>
        </w:rPr>
        <w:t xml:space="preserve">Student_Exploration.onenote.html</w:t>
      </w:r>
      <w:r>
        <w:t xml:space="preserve"> </w:t>
      </w:r>
      <w:r>
        <w:t xml:space="preserve">(OneNote-paste static)</w:t>
      </w:r>
    </w:p>
    <w:p>
      <w:pPr>
        <w:pStyle w:val="Compact"/>
        <w:numPr>
          <w:ilvl w:val="0"/>
          <w:numId w:val="1007"/>
        </w:numPr>
      </w:pPr>
      <w:r>
        <w:rPr>
          <w:rStyle w:val="VerbatimChar"/>
        </w:rPr>
        <w:t xml:space="preserve">Answer_Key.docx</w:t>
      </w:r>
    </w:p>
    <w:bookmarkEnd w:id="31"/>
    <w:bookmarkStart w:id="32" w:name="key-vocabulary-max-3"/>
    <w:p>
      <w:pPr>
        <w:pStyle w:val="Heading2"/>
      </w:pPr>
      <w:r>
        <w:t xml:space="preserve">Key Vocabulary (max 3)</w:t>
      </w:r>
    </w:p>
    <w:p>
      <w:pPr>
        <w:pStyle w:val="Compact"/>
        <w:numPr>
          <w:ilvl w:val="0"/>
          <w:numId w:val="1008"/>
        </w:numPr>
      </w:pPr>
      <w:r>
        <w:rPr>
          <w:b/>
          <w:bCs/>
        </w:rPr>
        <w:t xml:space="preserve">vector</w:t>
      </w:r>
      <w:r>
        <w:t xml:space="preserve"> </w:t>
      </w:r>
      <w:r>
        <w:t xml:space="preserve">— a quantity with both magnitude and direction</w:t>
      </w:r>
    </w:p>
    <w:p>
      <w:pPr>
        <w:pStyle w:val="Compact"/>
        <w:numPr>
          <w:ilvl w:val="0"/>
          <w:numId w:val="1008"/>
        </w:numPr>
      </w:pPr>
      <w:r>
        <w:rPr>
          <w:b/>
          <w:bCs/>
        </w:rPr>
        <w:t xml:space="preserve">magnitude</w:t>
      </w:r>
      <w:r>
        <w:t xml:space="preserve"> </w:t>
      </w:r>
      <w:r>
        <w:t xml:space="preserve">— the size or length of a vector</w:t>
      </w:r>
    </w:p>
    <w:p>
      <w:pPr>
        <w:pStyle w:val="Compact"/>
        <w:numPr>
          <w:ilvl w:val="0"/>
          <w:numId w:val="1008"/>
        </w:numPr>
      </w:pPr>
      <w:r>
        <w:rPr>
          <w:b/>
          <w:bCs/>
        </w:rPr>
        <w:t xml:space="preserve">direction</w:t>
      </w:r>
      <w:r>
        <w:t xml:space="preserve"> </w:t>
      </w:r>
      <w:r>
        <w:t xml:space="preserve">— the way a vector points, often given as an angle</w:t>
      </w:r>
    </w:p>
    <w:bookmarkEnd w:id="32"/>
    <w:bookmarkEnd w:id="3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betterlesson.com/lesson/630798/an-introduction-to-free-body-diagrams" TargetMode="External" /><Relationship Type="http://schemas.openxmlformats.org/officeDocument/2006/relationships/hyperlink" Id="rId11" Target="http://www.physicsclassroom.com/mmedia/vectors/va.cfm" TargetMode="External" /><Relationship Type="http://schemas.openxmlformats.org/officeDocument/2006/relationships/hyperlink" Id="rId15" Target="https://docs.google.com/document/d/1szBnR_mZA5WvECXAl-6wyQtQCxTnDcYVXrKPT8NvaFQ/edit?tab=t.0" TargetMode="External" /><Relationship Type="http://schemas.openxmlformats.org/officeDocument/2006/relationships/hyperlink" Id="rId13" Target="https://phet.colorado.edu/en/simulations/vector-addition" TargetMode="External" /><Relationship Type="http://schemas.openxmlformats.org/officeDocument/2006/relationships/hyperlink" Id="rId14" Target="https://www.physicsclassroom.com/Physics-Interactives/Vectors-and-Projectiles/Vector-Addition/Vector-Addition-Interactive" TargetMode="External" /></Relationships>
</file>

<file path=word/_rels/footnotes.xml.rels><?xml version="1.0" encoding="UTF-8"?><Relationships xmlns="http://schemas.openxmlformats.org/package/2006/relationships"><Relationship Type="http://schemas.openxmlformats.org/officeDocument/2006/relationships/hyperlink" Id="rId17" Target="http://betterlesson.com/lesson/630798/an-introduction-to-free-body-diagrams" TargetMode="External" /><Relationship Type="http://schemas.openxmlformats.org/officeDocument/2006/relationships/hyperlink" Id="rId11" Target="http://www.physicsclassroom.com/mmedia/vectors/va.cfm" TargetMode="External" /><Relationship Type="http://schemas.openxmlformats.org/officeDocument/2006/relationships/hyperlink" Id="rId15" Target="https://docs.google.com/document/d/1szBnR_mZA5WvECXAl-6wyQtQCxTnDcYVXrKPT8NvaFQ/edit?tab=t.0" TargetMode="External" /><Relationship Type="http://schemas.openxmlformats.org/officeDocument/2006/relationships/hyperlink" Id="rId13" Target="https://phet.colorado.edu/en/simulations/vector-addition" TargetMode="External" /><Relationship Type="http://schemas.openxmlformats.org/officeDocument/2006/relationships/hyperlink" Id="rId14" Target="https://www.physicsclassroom.com/Physics-Interactives/Vectors-and-Projectiles/Vector-Addition/Vector-Addition-Interact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2026-05-09T00:03:39Z</dcterms:created>
  <dcterms:modified xsi:type="dcterms:W3CDTF">2026-05-09T00:03:39Z</dcterms:modified>
</cp:coreProperties>
</file>

<file path=docProps/custom.xml><?xml version="1.0" encoding="utf-8"?>
<Properties xmlns="http://schemas.openxmlformats.org/officeDocument/2006/custom-properties" xmlns:vt="http://schemas.openxmlformats.org/officeDocument/2006/docPropsVTypes"/>
</file>