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math-in-science-unit-plan"/>
    <w:p>
      <w:pPr>
        <w:pStyle w:val="Heading1"/>
      </w:pPr>
      <w:r>
        <w:t xml:space="preserve">Math in Science — Unit Plan</w:t>
      </w:r>
    </w:p>
    <w:bookmarkStart w:id="9" w:name="cover"/>
    <w:p>
      <w:pPr>
        <w:pStyle w:val="Heading2"/>
      </w:pPr>
      <w:r>
        <w:t xml:space="preserve">Cover</w:t>
      </w:r>
    </w:p>
    <w:p>
      <w:pPr>
        <w:pStyle w:val="FirstParagraph"/>
      </w:pPr>
      <w:r>
        <w:rPr>
          <w:b/>
          <w:bCs/>
        </w:rPr>
        <w:t xml:space="preserve">Unit: Math in Science (Unit 00 — course opener)</w:t>
      </w:r>
      <w:r>
        <w:t xml:space="preserve"> </w:t>
      </w:r>
      <w:r>
        <w:t xml:space="preserve">East Meadow Schools × Valley Stream Central High School District</w:t>
      </w:r>
      <w:r>
        <w:t xml:space="preserve"> </w:t>
      </w:r>
      <w:r>
        <w:t xml:space="preserve">4 lessons · ~4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is the quantitative-readiness unit that opens the physics course. Before students meet a single force or wave, they build the math toolkit every later unit reuses: rearranging formulas, resolving vectors with trig, reading graphs and slopes, writing numbers in scientific notation, estimating by order of magnitude, and converting units. It carries no NYSSLS performance expectation of its own; instead it develops the science and engineering practice</w:t>
      </w:r>
      <w:r>
        <w:t xml:space="preserve"> </w:t>
      </w:r>
      <w:r>
        <w:rPr>
          <w:b/>
          <w:bCs/>
        </w:rPr>
        <w:t xml:space="preserve">“Using Mathematics and Computational Thinking”</w:t>
      </w:r>
      <w:r>
        <w:t xml:space="preserve"> </w:t>
      </w:r>
      <w:r>
        <w:t xml:space="preserve">that threads through every HS-PS standard. It feeds directly into Kinematics (slopes of motion graphs, vector components) and Forces (Fnet = m·a rearrangements, units of the newton).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Algebra and Trigonometry for Physics</w:t>
            </w:r>
          </w:p>
        </w:tc>
        <w:tc>
          <w:tcPr/>
          <w:p>
            <w:pPr>
              <w:pStyle w:val="Compact"/>
            </w:pPr>
            <w:r>
              <w:t xml:space="preserve">Isolate a variable; resolve a slant into components with SOH-CAH-TOA</w:t>
            </w:r>
          </w:p>
        </w:tc>
      </w:tr>
      <w:tr>
        <w:tc>
          <w:tcPr/>
          <w:p>
            <w:pPr>
              <w:pStyle w:val="Compact"/>
            </w:pPr>
            <w:r>
              <w:t xml:space="preserve">02</w:t>
            </w:r>
          </w:p>
        </w:tc>
        <w:tc>
          <w:tcPr/>
          <w:p>
            <w:pPr>
              <w:pStyle w:val="Compact"/>
            </w:pPr>
            <w:r>
              <w:t xml:space="preserve">Graphing and Interpreting Data</w:t>
            </w:r>
          </w:p>
        </w:tc>
        <w:tc>
          <w:tcPr/>
          <w:p>
            <w:pPr>
              <w:pStyle w:val="Compact"/>
            </w:pPr>
            <w:r>
              <w:t xml:space="preserve">Independent vs. dependent variable; line of best fit; slope as a proportionality constant</w:t>
            </w:r>
          </w:p>
        </w:tc>
      </w:tr>
      <w:tr>
        <w:tc>
          <w:tcPr/>
          <w:p>
            <w:pPr>
              <w:pStyle w:val="Compact"/>
            </w:pPr>
            <w:r>
              <w:t xml:space="preserve">03</w:t>
            </w:r>
          </w:p>
        </w:tc>
        <w:tc>
          <w:tcPr/>
          <w:p>
            <w:pPr>
              <w:pStyle w:val="Compact"/>
            </w:pPr>
            <w:r>
              <w:t xml:space="preserve">Scientific Notation and Fermi Estimates</w:t>
            </w:r>
          </w:p>
        </w:tc>
        <w:tc>
          <w:tcPr/>
          <w:p>
            <w:pPr>
              <w:pStyle w:val="Compact"/>
            </w:pPr>
            <w:r>
              <w:t xml:space="preserve">Powers of ten; scientific notation; order-of-magnitude estimation</w:t>
            </w:r>
          </w:p>
        </w:tc>
      </w:tr>
      <w:tr>
        <w:tc>
          <w:tcPr/>
          <w:p>
            <w:pPr>
              <w:pStyle w:val="Compact"/>
            </w:pPr>
            <w:r>
              <w:t xml:space="preserve">04</w:t>
            </w:r>
          </w:p>
        </w:tc>
        <w:tc>
          <w:tcPr/>
          <w:p>
            <w:pPr>
              <w:pStyle w:val="Compact"/>
            </w:pPr>
            <w:r>
              <w:t xml:space="preserve">Units, Prefixes, and Dimensional Analysis</w:t>
            </w:r>
          </w:p>
        </w:tc>
        <w:tc>
          <w:tcPr/>
          <w:p>
            <w:pPr>
              <w:pStyle w:val="Compact"/>
            </w:pPr>
            <w:r>
              <w:t xml:space="preserve">SI units; metric prefixes; factor-label conversion and unit checking</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Algebra &amp; Trig</w:t>
            </w:r>
          </w:p>
        </w:tc>
        <w:tc>
          <w:tcPr/>
          <w:p>
            <w:pPr>
              <w:pStyle w:val="Compact"/>
            </w:pPr>
            <w:r>
              <w:t xml:space="preserve">Angled zipline/ramp — find height and run</w:t>
            </w:r>
          </w:p>
        </w:tc>
        <w:tc>
          <w:tcPr/>
          <w:p>
            <w:pPr>
              <w:pStyle w:val="Compact"/>
            </w:pPr>
            <w:r>
              <w:t xml:space="preserve">Hochman</w:t>
            </w:r>
          </w:p>
        </w:tc>
      </w:tr>
      <w:tr>
        <w:tc>
          <w:tcPr/>
          <w:p>
            <w:pPr>
              <w:pStyle w:val="Compact"/>
            </w:pPr>
            <w:r>
              <w:t xml:space="preserve">2</w:t>
            </w:r>
          </w:p>
        </w:tc>
        <w:tc>
          <w:tcPr/>
          <w:p>
            <w:pPr>
              <w:pStyle w:val="Compact"/>
            </w:pPr>
            <w:r>
              <w:t xml:space="preserve">02 Graphing &amp; Data</w:t>
            </w:r>
          </w:p>
        </w:tc>
        <w:tc>
          <w:tcPr/>
          <w:p>
            <w:pPr>
              <w:pStyle w:val="Compact"/>
            </w:pPr>
            <w:r>
              <w:t xml:space="preserve">Pi / Lid Lab — slope of C vs. d is π</w:t>
            </w:r>
          </w:p>
        </w:tc>
        <w:tc>
          <w:tcPr/>
          <w:p>
            <w:pPr>
              <w:pStyle w:val="Compact"/>
            </w:pPr>
            <w:r>
              <w:t xml:space="preserve">Active Learning</w:t>
            </w:r>
          </w:p>
        </w:tc>
      </w:tr>
      <w:tr>
        <w:tc>
          <w:tcPr/>
          <w:p>
            <w:pPr>
              <w:pStyle w:val="Compact"/>
            </w:pPr>
            <w:r>
              <w:t xml:space="preserve">3</w:t>
            </w:r>
          </w:p>
        </w:tc>
        <w:tc>
          <w:tcPr/>
          <w:p>
            <w:pPr>
              <w:pStyle w:val="Compact"/>
            </w:pPr>
            <w:r>
              <w:t xml:space="preserve">03 Scientific Notation &amp; Fermi</w:t>
            </w:r>
          </w:p>
        </w:tc>
        <w:tc>
          <w:tcPr/>
          <w:p>
            <w:pPr>
              <w:pStyle w:val="Compact"/>
            </w:pPr>
            <w:r>
              <w:t xml:space="preserve">Scale of the Universe; basketballs in the gym</w:t>
            </w:r>
          </w:p>
        </w:tc>
        <w:tc>
          <w:tcPr/>
          <w:p>
            <w:pPr>
              <w:pStyle w:val="Compact"/>
            </w:pPr>
            <w:r>
              <w:t xml:space="preserve">BTC</w:t>
            </w:r>
          </w:p>
        </w:tc>
      </w:tr>
      <w:tr>
        <w:tc>
          <w:tcPr/>
          <w:p>
            <w:pPr>
              <w:pStyle w:val="Compact"/>
            </w:pPr>
            <w:r>
              <w:t xml:space="preserve">4</w:t>
            </w:r>
          </w:p>
        </w:tc>
        <w:tc>
          <w:tcPr/>
          <w:p>
            <w:pPr>
              <w:pStyle w:val="Compact"/>
            </w:pPr>
            <w:r>
              <w:t xml:space="preserve">04 Units &amp; Dimensional Analysis</w:t>
            </w:r>
          </w:p>
        </w:tc>
        <w:tc>
          <w:tcPr/>
          <w:p>
            <w:pPr>
              <w:pStyle w:val="Compact"/>
            </w:pPr>
            <w:r>
              <w:t xml:space="preserve">Mixed-unit recipe / road sign</w:t>
            </w:r>
          </w:p>
        </w:tc>
        <w:tc>
          <w:tcPr/>
          <w:p>
            <w:pPr>
              <w:pStyle w:val="Compact"/>
            </w:pPr>
            <w:r>
              <w:t xml:space="preserve">Hochman</w:t>
            </w:r>
          </w:p>
        </w:tc>
      </w:tr>
    </w:tbl>
    <w:p>
      <w:pPr>
        <w:pStyle w:val="BodyText"/>
      </w:pPr>
      <w:r>
        <w:t xml:space="preserve">Double-period days (every other day) let the Pi/Lid Lab (Lesson 02) and the Fermi board work (Lesson 03)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HOCHMAN</w:t>
      </w:r>
      <w:r>
        <w:t xml:space="preserve"> </w:t>
      </w:r>
      <w:r>
        <w:t xml:space="preserve">(literacy): Lessons 01, 04 — kernel sentences and Because/But/So on the rearrangement rule (01); appositive definitions and Because/But/So on why units must match (04).</w:t>
      </w:r>
    </w:p>
    <w:p>
      <w:pPr>
        <w:pStyle w:val="Compact"/>
        <w:numPr>
          <w:ilvl w:val="0"/>
          <w:numId w:val="1001"/>
        </w:numPr>
      </w:pPr>
      <w:r>
        <w:rPr>
          <w:b/>
          <w:bCs/>
        </w:rPr>
        <w:t xml:space="preserve">ACTIVE LEARNING</w:t>
      </w:r>
      <w:r>
        <w:t xml:space="preserve">: Lesson 02 — hands-on lid measurement plus the Slow Reveal Graphs discourse routine; students generate the data that yields π.</w:t>
      </w:r>
    </w:p>
    <w:p>
      <w:pPr>
        <w:pStyle w:val="Compact"/>
        <w:numPr>
          <w:ilvl w:val="0"/>
          <w:numId w:val="1001"/>
        </w:numPr>
      </w:pPr>
      <w:r>
        <w:rPr>
          <w:b/>
          <w:bCs/>
        </w:rPr>
        <w:t xml:space="preserve">BTC</w:t>
      </w:r>
      <w:r>
        <w:t xml:space="preserve"> </w:t>
      </w:r>
      <w:r>
        <w:t xml:space="preserve">(Building Thinking Classrooms): Lesson 03 — visibly random groups, vertical non-permanent surfaces, and a thin-sliced scientific-notation sequence building to an open Fermi estimate.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p>
      <w:pPr>
        <w:pStyle w:val="FirstParagraph"/>
      </w:pPr>
      <w:r>
        <w:t xml:space="preserve">This unit develops a science and engineering practice rather than a content performance expectation, so the matrix maps the practice and crosscutting concept onto each lesson.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 / CCC</w:t>
            </w:r>
          </w:p>
        </w:tc>
        <w:tc>
          <w:tcPr/>
          <w:p>
            <w:pPr>
              <w:pStyle w:val="Compact"/>
            </w:pPr>
            <w:r>
              <w:t xml:space="preserve">Description</w:t>
            </w:r>
          </w:p>
        </w:tc>
        <w:tc>
          <w:tcPr/>
          <w:p>
            <w:pPr>
              <w:pStyle w:val="Compact"/>
            </w:pPr>
            <w:r>
              <w:t xml:space="preserve">Lessons</w:t>
            </w:r>
          </w:p>
        </w:tc>
      </w:tr>
      <w:tr>
        <w:tc>
          <w:tcPr/>
          <w:p>
            <w:pPr>
              <w:pStyle w:val="Compact"/>
            </w:pPr>
            <w:r>
              <w:t xml:space="preserve">SEP: Using Mathematics and Computational Thinking</w:t>
            </w:r>
          </w:p>
        </w:tc>
        <w:tc>
          <w:tcPr/>
          <w:p>
            <w:pPr>
              <w:pStyle w:val="Compact"/>
            </w:pPr>
            <w:r>
              <w:t xml:space="preserve">Rearrange relationships, compute, and represent quantities — prerequisite to every HS-PS performance expectation</w:t>
            </w:r>
          </w:p>
        </w:tc>
        <w:tc>
          <w:tcPr/>
          <w:p>
            <w:pPr>
              <w:pStyle w:val="Compact"/>
            </w:pPr>
            <w:r>
              <w:t xml:space="preserve">01, 02, 03, 04</w:t>
            </w:r>
          </w:p>
        </w:tc>
      </w:tr>
      <w:tr>
        <w:tc>
          <w:tcPr/>
          <w:p>
            <w:pPr>
              <w:pStyle w:val="Compact"/>
            </w:pPr>
            <w:r>
              <w:t xml:space="preserve">SEP: Analyzing and Interpreting Data</w:t>
            </w:r>
          </w:p>
        </w:tc>
        <w:tc>
          <w:tcPr/>
          <w:p>
            <w:pPr>
              <w:pStyle w:val="Compact"/>
            </w:pPr>
            <w:r>
              <w:t xml:space="preserve">Read graphs, draw best-fit lines, extract slopes</w:t>
            </w:r>
          </w:p>
        </w:tc>
        <w:tc>
          <w:tcPr/>
          <w:p>
            <w:pPr>
              <w:pStyle w:val="Compact"/>
            </w:pPr>
            <w:r>
              <w:t xml:space="preserve">02</w:t>
            </w:r>
          </w:p>
        </w:tc>
      </w:tr>
      <w:tr>
        <w:tc>
          <w:tcPr/>
          <w:p>
            <w:pPr>
              <w:pStyle w:val="Compact"/>
            </w:pPr>
            <w:r>
              <w:t xml:space="preserve">CCC: Scale, Proportion, and Quantity</w:t>
            </w:r>
          </w:p>
        </w:tc>
        <w:tc>
          <w:tcPr/>
          <w:p>
            <w:pPr>
              <w:pStyle w:val="Compact"/>
            </w:pPr>
            <w:r>
              <w:t xml:space="preserve">Proportional relationships; powers of ten; rescaling units</w:t>
            </w:r>
          </w:p>
        </w:tc>
        <w:tc>
          <w:tcPr/>
          <w:p>
            <w:pPr>
              <w:pStyle w:val="Compact"/>
            </w:pPr>
            <w:r>
              <w:t xml:space="preserve">01, 02, 03, 04</w:t>
            </w:r>
          </w:p>
        </w:tc>
      </w:tr>
      <w:tr>
        <w:tc>
          <w:tcPr/>
          <w:p>
            <w:pPr>
              <w:pStyle w:val="Compact"/>
            </w:pPr>
            <w:r>
              <w:t xml:space="preserve">CCC: Patterns</w:t>
            </w:r>
          </w:p>
        </w:tc>
        <w:tc>
          <w:tcPr/>
          <w:p>
            <w:pPr>
              <w:pStyle w:val="Compact"/>
            </w:pPr>
            <w:r>
              <w:t xml:space="preserve">A straight-line graph reveals and names a proportional pattern</w:t>
            </w:r>
          </w:p>
        </w:tc>
        <w:tc>
          <w:tcPr/>
          <w:p>
            <w:pPr>
              <w:pStyle w:val="Compact"/>
            </w:pPr>
            <w:r>
              <w:t xml:space="preserve">02</w:t>
            </w:r>
          </w:p>
        </w:tc>
      </w:tr>
      <w:tr>
        <w:tc>
          <w:tcPr/>
          <w:p>
            <w:pPr>
              <w:pStyle w:val="Compact"/>
            </w:pPr>
            <w:r>
              <w:t xml:space="preserve">Feeds → HS-PS2-1, HS-PS3, HS-PS4</w:t>
            </w:r>
          </w:p>
        </w:tc>
        <w:tc>
          <w:tcPr/>
          <w:p>
            <w:pPr>
              <w:pStyle w:val="Compact"/>
            </w:pPr>
            <w:r>
              <w:t xml:space="preserve">Quantitative tools reused throughout Kinematics, Forces, Energy, and Waves</w:t>
            </w:r>
          </w:p>
        </w:tc>
        <w:tc>
          <w:tcPr/>
          <w:p>
            <w:pPr>
              <w:pStyle w:val="Compact"/>
            </w:pPr>
            <w:r>
              <w:t xml:space="preserve">all</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isolate (a variable) · sine · right triangle</w:t>
            </w:r>
          </w:p>
        </w:tc>
      </w:tr>
      <w:tr>
        <w:tc>
          <w:tcPr/>
          <w:p>
            <w:pPr>
              <w:pStyle w:val="Compact"/>
            </w:pPr>
            <w:r>
              <w:t xml:space="preserve">02</w:t>
            </w:r>
          </w:p>
        </w:tc>
        <w:tc>
          <w:tcPr/>
          <w:p>
            <w:pPr>
              <w:pStyle w:val="Compact"/>
            </w:pPr>
            <w:r>
              <w:t xml:space="preserve">independent variable · dependent variable · slope</w:t>
            </w:r>
          </w:p>
        </w:tc>
      </w:tr>
      <w:tr>
        <w:tc>
          <w:tcPr/>
          <w:p>
            <w:pPr>
              <w:pStyle w:val="Compact"/>
            </w:pPr>
            <w:r>
              <w:t xml:space="preserve">03</w:t>
            </w:r>
          </w:p>
        </w:tc>
        <w:tc>
          <w:tcPr/>
          <w:p>
            <w:pPr>
              <w:pStyle w:val="Compact"/>
            </w:pPr>
            <w:r>
              <w:t xml:space="preserve">scientific notation · order of magnitude · exponent</w:t>
            </w:r>
          </w:p>
        </w:tc>
      </w:tr>
      <w:tr>
        <w:tc>
          <w:tcPr/>
          <w:p>
            <w:pPr>
              <w:pStyle w:val="Compact"/>
            </w:pPr>
            <w:r>
              <w:t xml:space="preserve">04</w:t>
            </w:r>
          </w:p>
        </w:tc>
        <w:tc>
          <w:tcPr/>
          <w:p>
            <w:pPr>
              <w:pStyle w:val="Compact"/>
            </w:pPr>
            <w:r>
              <w:t xml:space="preserve">SI unit · metric prefix · dimensional analysis</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2026-06-01T19:57:54Z</dcterms:created>
  <dcterms:modified xsi:type="dcterms:W3CDTF">2026-06-01T19:57:54Z</dcterms:modified>
</cp:coreProperties>
</file>

<file path=docProps/custom.xml><?xml version="1.0" encoding="utf-8"?>
<Properties xmlns="http://schemas.openxmlformats.org/officeDocument/2006/custom-properties" xmlns:vt="http://schemas.openxmlformats.org/officeDocument/2006/docPropsVTypes"/>
</file>