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vectors-teacher-guide"/>
    <w:p>
      <w:pPr>
        <w:pStyle w:val="Heading1"/>
      </w:pPr>
      <w:r>
        <w:t xml:space="preserve">Vectors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01: Vectors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RESTORATIVE CIRCLE · ACTIVE LEARNING</w:t>
      </w:r>
    </w:p>
    <w:p>
      <w:r>
        <w:pict>
          <v:rect style="width:0;height:1.5pt" o:hralign="center" o:hrstd="t" o:hr="t"/>
        </w:pict>
      </w:r>
    </w:p>
    <w:bookmarkEnd w:id="9"/>
    <w:bookmarkStart w:id="19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HS-PS2-1: Newton’s Second Law of Motion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Analyze data to support the claim that Newton’s second law of motion describes the mathematical relationship among the net force on a macroscopic object, its mass, and its acceleration.</w:t>
      </w:r>
      <w:r>
        <w:t xml:space="preserve"> </w:t>
      </w:r>
      <w:r>
        <w:rPr>
          <w:b/>
          <w:bCs/>
        </w:rPr>
        <w:t xml:space="preserve">(Cause and Effect)</w:t>
      </w:r>
    </w:p>
    <w:p>
      <w:pPr>
        <w:pStyle w:val="BodyText"/>
      </w:pPr>
      <w:r>
        <w:t xml:space="preserve">This lesson introduces the</w:t>
      </w:r>
      <w:r>
        <w:t xml:space="preserve"> </w:t>
      </w:r>
      <w:r>
        <w:rPr>
          <w:i/>
          <w:iCs/>
        </w:rPr>
        <w:t xml:space="preserve">vector</w:t>
      </w:r>
      <w:r>
        <w:t xml:space="preserve"> </w:t>
      </w:r>
      <w:r>
        <w:t xml:space="preserve">nature of the quantities (force, acceleration) that HS-PS2-1 requires students to reason about. Vectors are revisited in Lessons 02–05 (motion quantities) and Lessons 06–09 (gravity, projectiles).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Physics Classroom — Vector Animations:</w:t>
      </w:r>
      <w:r>
        <w:t xml:space="preserve"> </w:t>
      </w:r>
      <w:hyperlink r:id="rId11">
        <w:r>
          <w:rPr>
            <w:rStyle w:val="Hyperlink"/>
          </w:rPr>
          <w:t xml:space="preserve">http://www.physicsclassroom.com/mmedia/vectors/va.cfm</w:t>
        </w:r>
      </w:hyperlink>
    </w:p>
    <w:p>
      <w:pPr>
        <w:pStyle w:val="BodyText"/>
      </w:pPr>
      <w:r>
        <w:t xml:space="preserve">Two arrows added head-to-tail produce the same resultant regardless of which arrow comes first. The phenomenon invites students to notice that the order in which vectors are added does not change the result — a foothold for commutativity of vector addition.</w:t>
      </w:r>
    </w:p>
    <w:bookmarkEnd w:id="12"/>
    <w:bookmarkStart w:id="16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PhET Vector Addition Simulation: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https://phet.colorado.edu/en/simulations/vector-addition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Physics Classroom Vector Addition Interactive:</w:t>
      </w:r>
      <w:r>
        <w:t xml:space="preserve"> </w:t>
      </w:r>
      <w:hyperlink r:id="rId14">
        <w:r>
          <w:rPr>
            <w:rStyle w:val="Hyperlink"/>
          </w:rPr>
          <w:t xml:space="preserve">https://www.physicsclassroom.com/Physics-Interactives/Vectors-and-Projectiles/Vector-Addition/Vector-Addition-Interactive</w:t>
        </w:r>
      </w:hyperlink>
    </w:p>
    <w:p>
      <w:pPr>
        <w:pStyle w:val="Compact"/>
        <w:numPr>
          <w:ilvl w:val="0"/>
          <w:numId w:val="1001"/>
        </w:numPr>
      </w:pPr>
      <w:r>
        <w:t xml:space="preserve">Vector Golf (Google Doc course):</w:t>
      </w:r>
      <w:r>
        <w:t xml:space="preserve"> </w:t>
      </w:r>
      <w:hyperlink r:id="rId15">
        <w:r>
          <w:rPr>
            <w:rStyle w:val="Hyperlink"/>
          </w:rPr>
          <w:t xml:space="preserve">https://docs.google.com/document/d/1szBnR_mZA5WvECXAl-6wyQtQCxTnDcYVXrKPT8NvaFQ/edit?tab=t.0</w:t>
        </w:r>
      </w:hyperlink>
    </w:p>
    <w:bookmarkEnd w:id="16"/>
    <w:bookmarkStart w:id="18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2"/>
        </w:numPr>
      </w:pPr>
      <w:r>
        <w:t xml:space="preserve">An Introduction to Free Body Diagrams (Better Lesson) — students use the vector nature of forces to draw free body diagrams:</w:t>
      </w:r>
      <w:r>
        <w:t xml:space="preserve"> </w:t>
      </w:r>
      <w:hyperlink r:id="rId17">
        <w:r>
          <w:rPr>
            <w:rStyle w:val="Hyperlink"/>
          </w:rPr>
          <w:t xml:space="preserve">http://betterlesson.com/lesson/630798/an-introduction-to-free-body-diagrams</w:t>
        </w:r>
      </w:hyperlink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how the</w:t>
            </w:r>
            <w:r>
              <w:t xml:space="preserve"> </w:t>
            </w:r>
            <w:r>
              <w:rPr>
                <w:i/>
                <w:iCs/>
              </w:rPr>
              <w:t xml:space="preserve">direction</w:t>
            </w:r>
            <w:r>
              <w:t xml:space="preserve"> </w:t>
            </w:r>
            <w:r>
              <w:t xml:space="preserve">of a force changes motion, not just its magnitude.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 · ACTIVE LEARNING (Vector Golf stations)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Graph paper or vector grids (1 per student); rulers (1 per pair); printed Vector Golf course (4 stations × 1 copy each); chart paper for VNPS-style station work; colored markers (purple + blue per group, mirroring the brand palette); the slider-based interactive on each device or projected.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Adding signed numbers; reading a coordinate grid; the difference between a measurement (number) and a measurement with direction (e.g.,</w:t>
            </w:r>
            <w:r>
              <w:t xml:space="preserve"> </w:t>
            </w:r>
            <w:r>
              <w:t xml:space="preserve">“30 mph”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“30 mph north”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3"/>
        </w:numPr>
      </w:pPr>
      <w:r>
        <w:t xml:space="preserve">Describe a vector quantity using both</w:t>
      </w:r>
      <w:r>
        <w:t xml:space="preserve"> </w:t>
      </w:r>
      <w:r>
        <w:rPr>
          <w:b/>
          <w:bCs/>
        </w:rPr>
        <w:t xml:space="preserve">magnitude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direction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Add two vectors graphically using the head-to-tail method.</w:t>
      </w:r>
    </w:p>
    <w:p>
      <w:pPr>
        <w:pStyle w:val="Compact"/>
        <w:numPr>
          <w:ilvl w:val="0"/>
          <w:numId w:val="1003"/>
        </w:numPr>
      </w:pPr>
      <w:r>
        <w:t xml:space="preserve">Decompose a vector into its x- and y-components.</w:t>
      </w:r>
    </w:p>
    <w:p>
      <w:r>
        <w:pict>
          <v:rect style="width:0;height:1.5pt" o:hralign="center" o:hrstd="t" o:hr="t"/>
        </w:pict>
      </w:r>
    </w:p>
    <w:bookmarkEnd w:id="20"/>
    <w:bookmarkStart w:id="25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p>
      <w:pPr>
        <w:pStyle w:val="FirstParagraph"/>
      </w:pPr>
      <w:r>
        <w:rPr>
          <w:b/>
          <w:bCs/>
        </w:rPr>
        <w:t xml:space="preserve">Phenomenon-based lesson flow (PPTX slide 32):</w:t>
      </w:r>
      <w:r>
        <w:t xml:space="preserve"> </w:t>
      </w:r>
      <w:r>
        <w:t xml:space="preserve">show the phenomenon → notice &amp; wonder → prioritize a question through a CCC lens → develop an initial model.</w:t>
      </w:r>
    </w:p>
    <w:bookmarkStart w:id="21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rPr>
          <w:b/>
          <w:bCs/>
        </w:rPr>
        <w:t xml:space="preserve">Restorative Circle — unit opener.</w:t>
      </w:r>
      <w:r>
        <w:t xml:space="preserve"> </w:t>
      </w:r>
      <w:r>
        <w:t xml:space="preserve">As students arrive, arrange chairs in a circle (or have students stand in a circle if the room is tight). Pass a small object hand-to-hand (a marker, a ball, a set of keys — anything that travels by hand). Each student answers a single prompt:</w:t>
      </w:r>
      <w:r>
        <w:t xml:space="preserve"> </w:t>
      </w:r>
      <w:r>
        <w:rPr>
          <w:i/>
          <w:iCs/>
        </w:rPr>
        <w:t xml:space="preserve">“What is one experience you’ve had with motion this week?”</w:t>
      </w:r>
      <w:r>
        <w:t xml:space="preserve"> </w:t>
      </w:r>
      <w:r>
        <w:t xml:space="preserve">Honor pass-rights — students may say</w:t>
      </w:r>
      <w:r>
        <w:t xml:space="preserve"> </w:t>
      </w:r>
      <w:r>
        <w:t xml:space="preserve">“pass”</w:t>
      </w:r>
      <w:r>
        <w:t xml:space="preserve"> </w:t>
      </w:r>
      <w:r>
        <w:t xml:space="preserve">without explanation. Do not respond to or evaluate any answer; nod, pass to the next student.</w:t>
      </w:r>
    </w:p>
    <w:p>
      <w:pPr>
        <w:pStyle w:val="BodyText"/>
      </w:pPr>
      <w:r>
        <w:rPr>
          <w:b/>
          <w:bCs/>
        </w:rPr>
        <w:t xml:space="preserve">Sample teacher language to open the circle:</w:t>
      </w:r>
    </w:p>
    <w:p>
      <w:pPr>
        <w:pStyle w:val="BlockText"/>
      </w:pPr>
      <w:r>
        <w:t xml:space="preserve">“Today we start a new unit, and we’re going to start with a circle. The point isn’t to be deep — it’s just to land in this room together before we start working. The question is: what is one experience you’ve had with motion this week? Pass-rights are honored — you can say</w:t>
      </w:r>
      <w:r>
        <w:t xml:space="preserve"> </w:t>
      </w:r>
      <w:r>
        <w:t xml:space="preserve">‘pass’</w:t>
      </w:r>
      <w:r>
        <w:t xml:space="preserve"> </w:t>
      </w:r>
      <w:r>
        <w:t xml:space="preserve">for any reason. I’ll go first, then [name to your left].”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4"/>
        </w:numPr>
      </w:pPr>
      <w:r>
        <w:t xml:space="preserve">“I rode my bike to school”</w:t>
      </w:r>
      <w:r>
        <w:t xml:space="preserve"> </w:t>
      </w:r>
      <w:r>
        <w:t xml:space="preserve">— affirm; this is a real-world example you’ll come back to.</w:t>
      </w:r>
    </w:p>
    <w:p>
      <w:pPr>
        <w:pStyle w:val="Compact"/>
        <w:numPr>
          <w:ilvl w:val="0"/>
          <w:numId w:val="1004"/>
        </w:numPr>
      </w:pPr>
      <w:r>
        <w:t xml:space="preserve">“I dropped my phone”</w:t>
      </w:r>
      <w:r>
        <w:t xml:space="preserve"> </w:t>
      </w:r>
      <w:r>
        <w:t xml:space="preserve">— connect to Lesson 06 (freefall).</w:t>
      </w:r>
    </w:p>
    <w:p>
      <w:pPr>
        <w:pStyle w:val="Compact"/>
        <w:numPr>
          <w:ilvl w:val="0"/>
          <w:numId w:val="1004"/>
        </w:numPr>
      </w:pPr>
      <w:r>
        <w:t xml:space="preserve">“I scored a goal”</w:t>
      </w:r>
      <w:r>
        <w:t xml:space="preserve"> </w:t>
      </w:r>
      <w:r>
        <w:t xml:space="preserve">/</w:t>
      </w:r>
      <w:r>
        <w:t xml:space="preserve"> </w:t>
      </w:r>
      <w:r>
        <w:t xml:space="preserve">“I caught a ball”</w:t>
      </w:r>
      <w:r>
        <w:t xml:space="preserve"> </w:t>
      </w:r>
      <w:r>
        <w:t xml:space="preserve">— projectile, Lesson 09 will revisit.</w:t>
      </w:r>
    </w:p>
    <w:p>
      <w:pPr>
        <w:pStyle w:val="Compact"/>
        <w:numPr>
          <w:ilvl w:val="0"/>
          <w:numId w:val="1004"/>
        </w:numPr>
      </w:pPr>
      <w:r>
        <w:t xml:space="preserve">“Pass”</w:t>
      </w:r>
      <w:r>
        <w:t xml:space="preserve"> </w:t>
      </w:r>
      <w:r>
        <w:t xml:space="preserve">— fine, move on. Don’t push.</w:t>
      </w:r>
    </w:p>
    <w:p>
      <w:pPr>
        <w:pStyle w:val="FirstParagraph"/>
      </w:pPr>
      <w:r>
        <w:t xml:space="preserve">Close the circle:</w:t>
      </w:r>
      <w:r>
        <w:t xml:space="preserve"> </w:t>
      </w:r>
      <w:r>
        <w:rPr>
          <w:i/>
          <w:iCs/>
        </w:rPr>
        <w:t xml:space="preserve">“What’s something you noticed about what people shared?”</w:t>
      </w:r>
      <w:r>
        <w:t xml:space="preserve"> </w:t>
      </w:r>
      <w:r>
        <w:t xml:space="preserve">— invite one volunteer; this is the bridge to Phase 1’s content.</w:t>
      </w:r>
    </w:p>
    <w:bookmarkEnd w:id="21"/>
    <w:bookmarkStart w:id="22" w:name="min-phenomenon-hook"/>
    <w:p>
      <w:pPr>
        <w:pStyle w:val="Heading3"/>
      </w:pPr>
      <w:r>
        <w:t xml:space="preserve">3–8 min · Phenomenon hook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Project the</w:t>
      </w:r>
      <w:r>
        <w:t xml:space="preserve"> </w:t>
      </w:r>
      <w:hyperlink r:id="rId11">
        <w:r>
          <w:rPr>
            <w:rStyle w:val="Hyperlink"/>
          </w:rPr>
          <w:t xml:space="preserve">Physics Classroom Vector Animation</w:t>
        </w:r>
      </w:hyperlink>
      <w:r>
        <w:t xml:space="preserve">. Let it loop silently for ~30 seconds before saying anything. Resist the urge to narrate.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“I’m not going to tell you what this is yet. Watch carefully. After a minute I’ll ask: what do you notice, and what do you wonder?”</w:t>
      </w:r>
    </w:p>
    <w:p>
      <w:pPr>
        <w:pStyle w:val="FirstParagraph"/>
      </w:pPr>
      <w:r>
        <w:t xml:space="preserve">After 30 seconds:</w:t>
      </w:r>
    </w:p>
    <w:p>
      <w:pPr>
        <w:pStyle w:val="BlockText"/>
      </w:pPr>
      <w:r>
        <w:t xml:space="preserve">“OK. What do you notice?”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“There are arrows”</w:t>
      </w:r>
      <w:r>
        <w:t xml:space="preserve"> </w:t>
      </w:r>
      <w:r>
        <w:t xml:space="preserve">— affirm, then probe:</w:t>
      </w:r>
      <w:r>
        <w:t xml:space="preserve"> </w:t>
      </w:r>
      <w:r>
        <w:t xml:space="preserve">“What do the arrows do?”</w:t>
      </w:r>
    </w:p>
    <w:p>
      <w:pPr>
        <w:pStyle w:val="Compact"/>
        <w:numPr>
          <w:ilvl w:val="0"/>
          <w:numId w:val="1005"/>
        </w:numPr>
      </w:pPr>
      <w:r>
        <w:t xml:space="preserve">“They get added together head-to-tail”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if a student says this</w:t>
      </w:r>
      <w:r>
        <w:t xml:space="preserve">, surface it for the class:</w:t>
      </w:r>
      <w:r>
        <w:t xml:space="preserve"> </w:t>
      </w:r>
      <w:r>
        <w:t xml:space="preserve">“That’s a great word. We’ll come back to it.”</w:t>
      </w:r>
    </w:p>
    <w:p>
      <w:pPr>
        <w:pStyle w:val="Compact"/>
        <w:numPr>
          <w:ilvl w:val="0"/>
          <w:numId w:val="1005"/>
        </w:numPr>
      </w:pPr>
      <w:r>
        <w:t xml:space="preserve">“The dashed arrow is the resultant”</w:t>
      </w:r>
      <w:r>
        <w:t xml:space="preserve"> </w:t>
      </w:r>
      <w:r>
        <w:t xml:space="preserve">— rare but possible.</w:t>
      </w:r>
      <w:r>
        <w:t xml:space="preserve"> </w:t>
      </w:r>
      <w:r>
        <w:rPr>
          <w:i/>
          <w:iCs/>
        </w:rPr>
        <w:t xml:space="preserve">Do not validate as</w:t>
      </w:r>
      <w:r>
        <w:rPr>
          <w:i/>
          <w:iCs/>
        </w:rPr>
        <w:t xml:space="preserve"> </w:t>
      </w:r>
      <w:r>
        <w:rPr>
          <w:i/>
          <w:iCs/>
        </w:rPr>
        <w:t xml:space="preserve">‘right’</w:t>
      </w:r>
      <w:r>
        <w:rPr>
          <w:i/>
          <w:iCs/>
        </w:rPr>
        <w:t xml:space="preserve"> </w:t>
      </w:r>
      <w:r>
        <w:rPr>
          <w:i/>
          <w:iCs/>
        </w:rPr>
        <w:t xml:space="preserve">yet.</w:t>
      </w:r>
      <w:r>
        <w:t xml:space="preserve"> </w:t>
      </w:r>
      <w:r>
        <w:t xml:space="preserve">Instead:</w:t>
      </w:r>
      <w:r>
        <w:t xml:space="preserve"> </w:t>
      </w:r>
      <w:r>
        <w:t xml:space="preserve">“Interesting — what makes you think that’s a special arrow?”</w:t>
      </w:r>
    </w:p>
    <w:p>
      <w:pPr>
        <w:pStyle w:val="Compact"/>
        <w:numPr>
          <w:ilvl w:val="0"/>
          <w:numId w:val="1005"/>
        </w:numPr>
      </w:pPr>
      <w:r>
        <w:t xml:space="preserve">“It looks like the order doesn’t matter”</w:t>
      </w:r>
      <w:r>
        <w:t xml:space="preserve"> </w:t>
      </w:r>
      <w:r>
        <w:t xml:space="preserve">— note this; we’ll come back to it in Phase 3.</w:t>
      </w:r>
    </w:p>
    <w:bookmarkEnd w:id="22"/>
    <w:bookmarkStart w:id="23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 on the board:</w:t>
      </w:r>
      <w:r>
        <w:t xml:space="preserve"> </w:t>
      </w:r>
      <w:r>
        <w:rPr>
          <w:b/>
          <w:bCs/>
        </w:rP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Wonder</w:t>
      </w:r>
      <w:r>
        <w:t xml:space="preserve">. Take 4–5 student observations (mix of voices). Then transition:</w:t>
      </w:r>
    </w:p>
    <w:p>
      <w:pPr>
        <w:pStyle w:val="BlockText"/>
      </w:pPr>
      <w:r>
        <w:t xml:space="preserve">“Turn to your partner. One thing you noticed about the arrows. One thing you wondered. Pick a wondering you’d like the class to figure out today.”</w:t>
      </w:r>
    </w:p>
    <w:p>
      <w:pPr>
        <w:pStyle w:val="FirstParagraph"/>
      </w:pPr>
      <w:r>
        <w:t xml:space="preserve">After 90 seconds, take 2–3 wonderings. Write them on the board. The most useful ones to surface:</w:t>
      </w:r>
    </w:p>
    <w:p>
      <w:pPr>
        <w:pStyle w:val="Compact"/>
        <w:numPr>
          <w:ilvl w:val="0"/>
          <w:numId w:val="1006"/>
        </w:numPr>
      </w:pPr>
      <w:r>
        <w:t xml:space="preserve">“Why is the dashed arrow shorter than the two solid arrows added together?”</w:t>
      </w:r>
    </w:p>
    <w:p>
      <w:pPr>
        <w:pStyle w:val="Compact"/>
        <w:numPr>
          <w:ilvl w:val="0"/>
          <w:numId w:val="1006"/>
        </w:numPr>
      </w:pPr>
      <w:r>
        <w:t xml:space="preserve">“Does it matter which arrow comes first?”</w:t>
      </w:r>
    </w:p>
    <w:p>
      <w:pPr>
        <w:pStyle w:val="Compact"/>
        <w:numPr>
          <w:ilvl w:val="0"/>
          <w:numId w:val="1006"/>
        </w:numPr>
      </w:pPr>
      <w:r>
        <w:t xml:space="preserve">“How would you tell someone how to draw the dashed arrow?”</w:t>
      </w:r>
    </w:p>
    <w:p>
      <w:pPr>
        <w:pStyle w:val="FirstParagraph"/>
      </w:pPr>
      <w:r>
        <w:rPr>
          <w:b/>
          <w:bCs/>
        </w:rPr>
        <w:t xml:space="preserve">CCC framing.</w:t>
      </w:r>
      <w:r>
        <w:t xml:space="preserve"> </w:t>
      </w:r>
      <w:r>
        <w:t xml:space="preserve">Briefly note:</w:t>
      </w:r>
      <w:r>
        <w:t xml:space="preserve"> </w:t>
      </w:r>
      <w:r>
        <w:t xml:space="preserve">“We’re going to investigate</w:t>
      </w:r>
      <w:r>
        <w:t xml:space="preserve"> </w:t>
      </w:r>
      <w:r>
        <w:rPr>
          <w:i/>
          <w:iCs/>
        </w:rPr>
        <w:t xml:space="preserve">cause and effect</w:t>
      </w:r>
      <w:r>
        <w:t xml:space="preserve"> </w:t>
      </w:r>
      <w:r>
        <w:t xml:space="preserve">— when two forces or two motions combine, what determines the result? It’s not just about how big each one is.”</w:t>
      </w:r>
    </w:p>
    <w:bookmarkEnd w:id="23"/>
    <w:bookmarkStart w:id="24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the end of Phase 1, every student should have a written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 </w:t>
      </w:r>
      <w:r>
        <w:t xml:space="preserve">— a sketch in their notebook answering:</w:t>
      </w:r>
      <w:r>
        <w:t xml:space="preserve"> </w:t>
      </w:r>
      <w:r>
        <w:rPr>
          <w:i/>
          <w:iCs/>
        </w:rPr>
        <w:t xml:space="preserve">“If arrow A points 4 squares right and arrow B points 3 squares up, where does the second arrow’s tip end up — and how would you describe that ending point in words?”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p>
      <w:pPr>
        <w:pStyle w:val="FirstParagraph"/>
      </w:pPr>
      <w:r>
        <w:rPr>
          <w:b/>
          <w:bCs/>
        </w:rPr>
        <w:t xml:space="preserve">Investigation.</w:t>
      </w:r>
      <w:r>
        <w:t xml:space="preserve"> </w:t>
      </w:r>
      <w:r>
        <w:t xml:space="preserve">Students engage with the phenomenon through hands-on Vector Golf stations and the slider-based interactive. Teacher walks but does not solve.</w:t>
      </w:r>
    </w:p>
    <w:bookmarkStart w:id="26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Distribute graph paper. Students sketch their initial model individually. Specific prompt on the board:</w:t>
      </w:r>
    </w:p>
    <w:p>
      <w:pPr>
        <w:pStyle w:val="BlockText"/>
      </w:pPr>
      <w:r>
        <w:rPr>
          <w:i/>
          <w:iCs/>
        </w:rPr>
        <w:t xml:space="preserve">“Arrow A points 4 squares right. Arrow B points 3 squares up. Draw both arrows head-to-tail starting from the origin. Where does B’s tip end up? In one sentence, describe that ending point.”</w:t>
      </w:r>
    </w:p>
    <w:p>
      <w:pPr>
        <w:pStyle w:val="FirstParagraph"/>
      </w:pPr>
      <w:r>
        <w:t xml:space="preserve">This is silent work. No collaboration yet. The point is to surface each student’s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mental model — including misconceptions — before the investigation surfaces the correct rule.</w:t>
      </w:r>
    </w:p>
    <w:p>
      <w:pPr>
        <w:pStyle w:val="BodyText"/>
      </w:pPr>
      <w:r>
        <w:rPr>
          <w:b/>
          <w:bCs/>
        </w:rPr>
        <w:t xml:space="preserve">What to look for during the silent work:</w:t>
      </w:r>
    </w:p>
    <w:p>
      <w:pPr>
        <w:pStyle w:val="Compact"/>
        <w:numPr>
          <w:ilvl w:val="0"/>
          <w:numId w:val="1007"/>
        </w:numPr>
      </w:pPr>
      <w:r>
        <w:t xml:space="preserve">Students who add 4 + 3 = 7 (additivity misconception — they’re treating vectors like scalars). Mark these mentally; you’ll surface them in Phase 3.</w:t>
      </w:r>
    </w:p>
    <w:p>
      <w:pPr>
        <w:pStyle w:val="Compact"/>
        <w:numPr>
          <w:ilvl w:val="0"/>
          <w:numId w:val="1007"/>
        </w:numPr>
      </w:pPr>
      <w:r>
        <w:t xml:space="preserve">Students who draw the resultant correctly but can’t articulate it in words. Mark these too — they have intuition without vocabulary, which is exactly the gap vocabulary closes.</w:t>
      </w:r>
    </w:p>
    <w:bookmarkEnd w:id="26"/>
    <w:bookmarkStart w:id="27" w:name="Xa9d8072435d74b2b497e4806129d2235ca7db45"/>
    <w:p>
      <w:pPr>
        <w:pStyle w:val="Heading3"/>
      </w:pPr>
      <w:r>
        <w:t xml:space="preserve">17–32 min · Investigation — Vector Golf stations (Active Learning)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t xml:space="preserve">Four stations around the room, each with a different</w:t>
      </w:r>
      <w:r>
        <w:t xml:space="preserve"> </w:t>
      </w:r>
      <w:r>
        <w:t xml:space="preserve">“course”</w:t>
      </w:r>
      <w:r>
        <w:t xml:space="preserve"> </w:t>
      </w:r>
      <w:r>
        <w:t xml:space="preserve">(a starting point and a target on a coordinate grid). Each station has chart paper at standing height (vertical non-permanent surface lite). Form</w:t>
      </w:r>
      <w:r>
        <w:t xml:space="preserve"> </w:t>
      </w:r>
      <w:r>
        <w:rPr>
          <w:b/>
          <w:bCs/>
        </w:rPr>
        <w:t xml:space="preserve">random groups of 3</w:t>
      </w:r>
      <w:r>
        <w:t xml:space="preserve"> </w:t>
      </w:r>
      <w:r>
        <w:t xml:space="preserve">using a deck of cards: shuffle, deal one card per student face-down; same-suit groups (clubs together, diamonds together, etc.). The randomness signals that</w:t>
      </w:r>
      <w:r>
        <w:t xml:space="preserve"> </w:t>
      </w:r>
      <w:r>
        <w:rPr>
          <w:i/>
          <w:iCs/>
        </w:rPr>
        <w:t xml:space="preserve">anyone</w:t>
      </w:r>
      <w:r>
        <w:t xml:space="preserve"> </w:t>
      </w:r>
      <w:r>
        <w:t xml:space="preserve">can think with</w:t>
      </w:r>
      <w:r>
        <w:t xml:space="preserve"> </w:t>
      </w:r>
      <w:r>
        <w:rPr>
          <w:i/>
          <w:iCs/>
        </w:rPr>
        <w:t xml:space="preserve">anyone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Three-minute rotations.</w:t>
      </w:r>
      <w:r>
        <w:t xml:space="preserve"> </w:t>
      </w:r>
      <w:r>
        <w:t xml:space="preserve">At each station, the group must use head-to-tail vector addition to plot a sequence of arrows that lands on the target. They leave their solution on the chart paper for the next group to verify. Walk the room and ask the discussion prompts; resist solving — let groups argue.</w:t>
      </w:r>
    </w:p>
    <w:p>
      <w:pPr>
        <w:pStyle w:val="BodyText"/>
      </w:pPr>
      <w:r>
        <w:rPr>
          <w:b/>
          <w:bCs/>
        </w:rPr>
        <w:t xml:space="preserve">Sample teacher facilitation language during station work:</w:t>
      </w:r>
    </w:p>
    <w:p>
      <w:pPr>
        <w:pStyle w:val="BlockText"/>
      </w:pPr>
      <w:r>
        <w:t xml:space="preserve">“What’s your evidence that arrow lands on the target?”</w:t>
      </w:r>
      <w:r>
        <w:t xml:space="preserve"> </w:t>
      </w:r>
      <w:r>
        <w:t xml:space="preserve">“Could you have gotten there with fewer arrows? More?”</w:t>
      </w:r>
      <w:r>
        <w:t xml:space="preserve"> </w:t>
      </w:r>
      <w:r>
        <w:t xml:space="preserve">“What does the group BEFORE you have — does their solution work?”</w:t>
      </w:r>
    </w:p>
    <w:bookmarkEnd w:id="27"/>
    <w:bookmarkStart w:id="28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discovering the head-to-tail rule by doing it. The</w:t>
      </w:r>
      <w:r>
        <w:t xml:space="preserve"> </w:t>
      </w:r>
      <w:r>
        <w:t xml:space="preserve">“aha”</w:t>
      </w:r>
      <w:r>
        <w:t xml:space="preserve"> </w:t>
      </w:r>
      <w:r>
        <w:t xml:space="preserve">moment is when a group realizes that A + B and B + A land in the same place.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 NOT explain the formal rule yet. The purpose of Phase 2 is for students to surface the pattern themselves. Resist the urge to validate</w:t>
      </w:r>
      <w:r>
        <w:t xml:space="preserve"> </w:t>
      </w:r>
      <w:r>
        <w:t xml:space="preserve">“right answers”</w:t>
      </w:r>
      <w:r>
        <w:t xml:space="preserve"> </w:t>
      </w:r>
      <w:r>
        <w:t xml:space="preserve">mid-investigation.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if a group is stuck, redirect with:</w:t>
      </w:r>
      <w:r>
        <w:t xml:space="preserve"> </w:t>
      </w:r>
      <w:r>
        <w:t xml:space="preserve">“What did the previous group try? What’s different about your course?”</w:t>
      </w:r>
      <w:r>
        <w:t xml:space="preserve"> </w:t>
      </w:r>
      <w:r>
        <w:t xml:space="preserve">If a group thinks the order of vectors matters for the resultant, let them test it — they will discover the commutativity themselves.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p>
      <w:pPr>
        <w:pStyle w:val="FirstParagraph"/>
      </w:pPr>
      <w:r>
        <w:rPr>
          <w:b/>
          <w:bCs/>
        </w:rPr>
        <w:t xml:space="preserve">Sense-making + class consensus.</w:t>
      </w:r>
      <w:r>
        <w:t xml:space="preserve"> </w:t>
      </w:r>
      <w:r>
        <w:t xml:space="preserve">Students articulate the pattern they discovered. The teacher names the formal vocabulary (≤ 3 terms) —</w:t>
      </w:r>
      <w:r>
        <w:t xml:space="preserve"> </w:t>
      </w:r>
      <w:r>
        <w:rPr>
          <w:i/>
          <w:iCs/>
        </w:rPr>
        <w:t xml:space="preserve">only after</w:t>
      </w:r>
      <w:r>
        <w:t xml:space="preserve"> </w:t>
      </w:r>
      <w:r>
        <w:t xml:space="preserve">students have done the explaining work themselves. Per NYSSLS observation checklist item 5, vocabulary lands in the second half of the lesson.</w:t>
      </w:r>
    </w:p>
    <w:bookmarkStart w:id="30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t xml:space="preserve">Bring the class back together at one chart paper. Pick a group’s solution that shows two arrows (A and B) with their resultant. Ask:</w:t>
      </w:r>
    </w:p>
    <w:p>
      <w:pPr>
        <w:pStyle w:val="BlockText"/>
      </w:pPr>
      <w:r>
        <w:t xml:space="preserve">“If A points right (magnitude 4) and B points up (magnitude 3), why does the resultant come out to 5 — not 7? Use the grid to convince your partner.”</w:t>
      </w:r>
    </w:p>
    <w:p>
      <w:pPr>
        <w:pStyle w:val="FirstParagraph"/>
      </w:pPr>
      <w:r>
        <w:t xml:space="preserve">After 90 seconds, take volunteers. The target consensus statement:</w:t>
      </w:r>
    </w:p>
    <w:p>
      <w:pPr>
        <w:pStyle w:val="BlockText"/>
      </w:pPr>
      <w:r>
        <w:t xml:space="preserve">“When two vectors are perpendicular, the resultant’s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follows the Pythagorean theorem: c² = a² + b². When they’re parallel, the magnitudes add. When they’re anti-parallel, they subtract.”</w:t>
      </w:r>
    </w:p>
    <w:p>
      <w:pPr>
        <w:pStyle w:val="FirstParagraph"/>
      </w:pPr>
      <w:r>
        <w:t xml:space="preserve">If no student arrives at the Pythagorean connection, prompt:</w:t>
      </w:r>
      <w:r>
        <w:t xml:space="preserve"> </w:t>
      </w:r>
      <w:r>
        <w:t xml:space="preserve">“Look at the triangle the three arrows form. What do we know about right triangles?”</w:t>
      </w:r>
    </w:p>
    <w:bookmarkEnd w:id="30"/>
    <w:bookmarkStart w:id="31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t xml:space="preserve">Now — and only now — name the three formal terms. Write them on the board with definitions and an example.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“When a quantity has both a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direction</w:t>
      </w:r>
      <w:r>
        <w:t xml:space="preserve">, we call that a</w:t>
      </w:r>
      <w:r>
        <w:t xml:space="preserve"> </w:t>
      </w:r>
      <w:r>
        <w:rPr>
          <w:b/>
          <w:bCs/>
        </w:rPr>
        <w:t xml:space="preserve">vector</w:t>
      </w:r>
      <w:r>
        <w:t xml:space="preserve">. The size is its</w:t>
      </w:r>
      <w:r>
        <w:t xml:space="preserve"> </w:t>
      </w:r>
      <w:r>
        <w:rPr>
          <w:b/>
          <w:bCs/>
        </w:rPr>
        <w:t xml:space="preserve">magnitude</w:t>
      </w:r>
      <w:r>
        <w:t xml:space="preserve">. The way it points is its</w:t>
      </w:r>
      <w:r>
        <w:t xml:space="preserve"> </w:t>
      </w:r>
      <w:r>
        <w:rPr>
          <w:b/>
          <w:bCs/>
        </w:rPr>
        <w:t xml:space="preserve">direction</w:t>
      </w:r>
      <w:r>
        <w:t xml:space="preserve">. Today we worked with vectors of length 4 and 3 that pointed perpendicular to each other; their resultant had magnitude 5 and a specific direction.”</w:t>
      </w:r>
    </w:p>
    <w:bookmarkEnd w:id="31"/>
    <w:bookmarkStart w:id="32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9"/>
        </w:numPr>
      </w:pPr>
      <w:r>
        <w:t xml:space="preserve">“When two vectors point the same direction, what happens to their resultant? When they point opposite? When they’re perpendicular?”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“When perpendicular, the resultant is the diagonal of a rectangle, so we use Pythagoras to get its size.”</w:t>
      </w:r>
    </w:p>
    <w:p>
      <w:pPr>
        <w:pStyle w:val="Compact"/>
        <w:numPr>
          <w:ilvl w:val="0"/>
          <w:numId w:val="1009"/>
        </w:numPr>
      </w:pPr>
      <w:r>
        <w:t xml:space="preserve">“Could two different pairs of vectors give the same resultant? How would you draw an example?”</w:t>
      </w:r>
    </w:p>
    <w:p>
      <w:pPr>
        <w:pStyle w:val="Compact"/>
        <w:numPr>
          <w:ilvl w:val="0"/>
          <w:numId w:val="1009"/>
        </w:numPr>
      </w:pPr>
      <w:r>
        <w:t xml:space="preserve">“If you swap A and B in head-to-tail addition, does the resultant change? Why or why not?”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p>
      <w:pPr>
        <w:pStyle w:val="FirstParagraph"/>
      </w:pPr>
      <w:r>
        <w:rPr>
          <w:b/>
          <w:bCs/>
        </w:rPr>
        <w:t xml:space="preserve">Apply the new ideas to the original phenomenon.</w:t>
      </w:r>
      <w:r>
        <w:t xml:space="preserve"> </w:t>
      </w:r>
      <w:r>
        <w:t xml:space="preserve">Students return to their initial model from Phase 2 and revise it using today’s vocabulary and the pattern they surfaced.</w:t>
      </w:r>
    </w:p>
    <w:bookmarkStart w:id="34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Each student reopens their initial model sketch from Phase 2. Specific prompt on the board:</w:t>
      </w:r>
    </w:p>
    <w:p>
      <w:pPr>
        <w:pStyle w:val="BlockText"/>
      </w:pPr>
      <w:r>
        <w:rPr>
          <w:i/>
          <w:iCs/>
        </w:rPr>
        <w:t xml:space="preserve">“Update your sketch. Use the words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magnitude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direction</w:t>
      </w:r>
      <w:r>
        <w:rPr>
          <w:i/>
          <w:iCs/>
        </w:rPr>
        <w:t xml:space="preserve"> </w:t>
      </w:r>
      <w:r>
        <w:rPr>
          <w:i/>
          <w:iCs/>
        </w:rPr>
        <w:t xml:space="preserve">in one sentence describing where B’s tip ends up. If your initial answer was 7, write a sentence underneath explaining why the correct answer is 5.”</w:t>
      </w:r>
    </w:p>
    <w:p>
      <w:pPr>
        <w:pStyle w:val="FirstParagraph"/>
      </w:pPr>
      <w:r>
        <w:t xml:space="preserve">This is the moment where the student’s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initial misconception (if they had one) gets corrected by their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hand. The Hochman</w:t>
      </w:r>
      <w:r>
        <w:t xml:space="preserve"> </w:t>
      </w:r>
      <w:r>
        <w:rPr>
          <w:i/>
          <w:iCs/>
        </w:rPr>
        <w:t xml:space="preserve">because/but/so</w:t>
      </w:r>
      <w:r>
        <w:t xml:space="preserve"> </w:t>
      </w:r>
      <w:r>
        <w:t xml:space="preserve">move can scaffold the correction:</w:t>
      </w:r>
    </w:p>
    <w:p>
      <w:pPr>
        <w:pStyle w:val="BlockText"/>
      </w:pPr>
      <w:r>
        <w:t xml:space="preserve">“I first wrote 4 + 3 = 7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I added the magnitudes,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the arrows are perpendicular,</w:t>
      </w:r>
      <w:r>
        <w:t xml:space="preserve"> </w:t>
      </w:r>
      <w:r>
        <w:rPr>
          <w:i/>
          <w:iCs/>
        </w:rPr>
        <w:t xml:space="preserve">so</w:t>
      </w:r>
      <w:r>
        <w:t xml:space="preserve"> </w:t>
      </w:r>
      <w:r>
        <w:t xml:space="preserve">the resultant uses Pythagoras: √(16+9) = 5.”</w:t>
      </w:r>
    </w:p>
    <w:bookmarkEnd w:id="34"/>
    <w:bookmarkStart w:id="35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Re-show the original Physics Classroom vector animation. Ask the class:</w:t>
      </w:r>
    </w:p>
    <w:p>
      <w:pPr>
        <w:pStyle w:val="BlockText"/>
      </w:pPr>
      <w:r>
        <w:t xml:space="preserve">“Now that we’ve worked this out, what would you say to a friend who watched this animation and said</w:t>
      </w:r>
      <w:r>
        <w:t xml:space="preserve"> </w:t>
      </w:r>
      <w:r>
        <w:t xml:space="preserve">‘I don’t get it’</w:t>
      </w:r>
      <w:r>
        <w:t xml:space="preserve">?”</w:t>
      </w:r>
    </w:p>
    <w:p>
      <w:pPr>
        <w:pStyle w:val="FirstParagraph"/>
      </w:pPr>
      <w:r>
        <w:t xml:space="preserve">Take one volunteer’s response. The target response uses</w:t>
      </w:r>
      <w:r>
        <w:t xml:space="preserve"> </w:t>
      </w:r>
      <w:r>
        <w:rPr>
          <w:b/>
          <w:bCs/>
        </w:rPr>
        <w:t xml:space="preserve">vector</w:t>
      </w:r>
      <w:r>
        <w:t xml:space="preserve">,</w:t>
      </w:r>
      <w:r>
        <w:t xml:space="preserve"> </w:t>
      </w:r>
      <w:r>
        <w:rPr>
          <w:b/>
          <w:bCs/>
        </w:rPr>
        <w:t xml:space="preserve">magnitude</w:t>
      </w:r>
      <w:r>
        <w:t xml:space="preserve">,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 a single sentence — and that’s the lesson’s success criterion in action.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p>
      <w:pPr>
        <w:pStyle w:val="FirstParagraph"/>
      </w:pPr>
      <w:r>
        <w:rPr>
          <w:b/>
          <w:bCs/>
        </w:rPr>
        <w:t xml:space="preserve">Transfer task assessment.</w:t>
      </w:r>
      <w:r>
        <w:t xml:space="preserve"> </w:t>
      </w:r>
      <w:r>
        <w:t xml:space="preserve">A new phenomenon (different from the lesson’s hook) for students to apply their learning. Per the NYSSLS observation checklist (item 8), this is the in-lesson assessment.</w:t>
      </w:r>
    </w:p>
    <w:bookmarkStart w:id="37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The transfer prompt:</w:t>
      </w:r>
    </w:p>
    <w:p>
      <w:pPr>
        <w:pStyle w:val="BlockText"/>
      </w:pPr>
      <w:r>
        <w:rPr>
          <w:i/>
          <w:iCs/>
        </w:rPr>
        <w:t xml:space="preserve">“A boat sails 5 km east, then 12 km north. Sketch the resultant displacement on a grid and find its magnitude. Show one sentence of reasoning.”</w:t>
      </w:r>
    </w:p>
    <w:p>
      <w:pPr>
        <w:pStyle w:val="FirstParagraph"/>
      </w:pPr>
      <w:r>
        <w:t xml:space="preserve">Expected: 13 km, with reasoning that references the Pythagorean theorem or head-to-tail rule.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 </w:t>
      </w:r>
      <w:r>
        <w:t xml:space="preserve">for the rubric and tolerance.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“Vectors with bigger numbers are always longer.”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Two vectors of equal magnitude but different directions add to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resultants — direction matters as much as magnitude.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“Adding vectors is the same as adding their magnitudes.”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That is only true when they point in exactly the same direction. In every other case the resultant magnitude is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the sum (and equals zero when they cancel).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resultant is always longer than each input vector.”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Not when the vectors point opposite directions. The resultant can be shorter than either input, or even zero.</w:t>
      </w:r>
    </w:p>
    <w:p>
      <w:r>
        <w:pict>
          <v:rect style="width:0;height:1.5pt" o:hralign="center" o:hrstd="t" o:hr="t"/>
        </w:pict>
      </w:r>
    </w:p>
    <w:bookmarkEnd w:id="39"/>
    <w:bookmarkStart w:id="40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 — *“The resultant of A + B has magnitude ___ because ___.”* and *“Adding A and B gives a resultant that points ___.”* Word-choice box: {magnitude, direction, resultant, components, scalar}. Visual-first framing — show two arrows on a grid before introducing the word</w:t>
      </w:r>
      <w:r>
        <w:t xml:space="preserve"> </w:t>
      </w:r>
      <w:r>
        <w:rPr>
          <w:i/>
          <w:iCs/>
        </w:rPr>
        <w:t xml:space="preserve">vector</w:t>
      </w:r>
      <w:r>
        <w:t xml:space="preserve">. Bilingual glossary slot in student notebook for the three vocabulary words.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Use the printed Vector Golf course as a chunked, scaffolded organizer; pre-draw the first arrow for each problem so students start from the head of an existing arrow. Provide a step list: (1) draw A from origin, (2) draw B from head of A, (3) draw R from origin to head of B. Allow oral responses for the exit ticket.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After Vector Golf, prompt advanced students to find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number of vector additions to reach the target — introduces optimization thinking and previews path-planning intuition. Or: ask them to invent a 3-vector course where the resultant is exactly zero.</w:t>
      </w:r>
    </w:p>
    <w:p>
      <w:r>
        <w:pict>
          <v:rect style="width:0;height:1.5pt" o:hralign="center" o:hrstd="t" o:hr="t"/>
        </w:pict>
      </w:r>
    </w:p>
    <w:bookmarkEnd w:id="40"/>
    <w:bookmarkStart w:id="41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Restorative Circle (unit opener, 2 min)</w:t>
      </w:r>
      <w:r>
        <w:t xml:space="preserve"> </w:t>
      </w:r>
      <w:r>
        <w:t xml:space="preserve">— see Phase 1, Opening Connection. The full process is described above with sample teacher language and anticipated responses. Keep the circle short — under 3 minutes — and resist responding to individual answers.</w:t>
      </w:r>
    </w:p>
    <w:p>
      <w:pPr>
        <w:pStyle w:val="BodyText"/>
      </w:pPr>
      <w:r>
        <w:rPr>
          <w:b/>
          <w:bCs/>
        </w:rPr>
        <w:t xml:space="preserve">Active Learning — Vector Golf stations (15 min)</w:t>
      </w:r>
      <w:r>
        <w:t xml:space="preserve"> </w:t>
      </w:r>
      <w:r>
        <w:t xml:space="preserve">— see Phase 2, Investigation. The full station setup, group-formation method, rotation cadence, and teacher facilitation language are described above. The key teacher move is</w:t>
      </w:r>
      <w:r>
        <w:t xml:space="preserve"> </w:t>
      </w:r>
      <w:r>
        <w:rPr>
          <w:i/>
          <w:iCs/>
        </w:rPr>
        <w:t xml:space="preserve">resisting solving</w:t>
      </w:r>
      <w:r>
        <w:t xml:space="preserve"> </w:t>
      </w:r>
      <w:r>
        <w:t xml:space="preserve">— the strategy depends on students arguing with each other at the chart paper.</w:t>
      </w:r>
    </w:p>
    <w:p>
      <w:r>
        <w:pict>
          <v:rect style="width:0;height:1.5pt" o:hralign="center" o:hrstd="t" o:hr="t"/>
        </w:pict>
      </w:r>
    </w:p>
    <w:bookmarkEnd w:id="41"/>
    <w:bookmarkStart w:id="42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Phenomenon hook (Physics Classroom vector animation)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after Notice &amp; Wonder), Phase 3 (TT#2 on the 3,4,5 triangle)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(Vector Golf station strategies),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mid-Phase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introduction at 35–37 min (vector / magnitude / direction)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Return to the phenomenon at 39–40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(sentence frames, pre-drawn arrows, oral exit-ticket option)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(boat 5 km E + 12 km N) + Closing Reflection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3"/>
        </w:numPr>
      </w:pPr>
      <w:r>
        <w:t xml:space="preserve">Web edition (live): https://angsta-ed.github.io/physics-kinematics/lessons/01-vectors.html</w:t>
      </w:r>
    </w:p>
    <w:p>
      <w:r>
        <w:pict>
          <v:rect style="width:0;height:1.5pt" o:hralign="center" o:hrstd="t" o:hr="t"/>
        </w:pict>
      </w:r>
    </w:p>
    <w:bookmarkEnd w:id="43"/>
    <w:bookmarkStart w:id="44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vector</w:t>
      </w:r>
      <w:r>
        <w:t xml:space="preserve"> </w:t>
      </w:r>
      <w:r>
        <w:t xml:space="preserve">— a quantity with both magnitude and direction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magnitude</w:t>
      </w:r>
      <w:r>
        <w:t xml:space="preserve"> </w:t>
      </w:r>
      <w:r>
        <w:t xml:space="preserve">— the size or length of a vector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direction</w:t>
      </w:r>
      <w:r>
        <w:t xml:space="preserve"> </w:t>
      </w:r>
      <w:r>
        <w:t xml:space="preserve">— the way a vector points, often given as an angle</w:t>
      </w:r>
    </w:p>
    <w:bookmarkEnd w:id="44"/>
    <w:bookmarkEnd w:id="4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://betterlesson.com/lesson/630798/an-introduction-to-free-body-diagrams" TargetMode="External" /><Relationship Type="http://schemas.openxmlformats.org/officeDocument/2006/relationships/hyperlink" Id="rId11" Target="http://www.physicsclassroom.com/mmedia/vectors/va.cfm" TargetMode="External" /><Relationship Type="http://schemas.openxmlformats.org/officeDocument/2006/relationships/hyperlink" Id="rId15" Target="https://docs.google.com/document/d/1szBnR_mZA5WvECXAl-6wyQtQCxTnDcYVXrKPT8NvaFQ/edit?tab=t.0" TargetMode="External" /><Relationship Type="http://schemas.openxmlformats.org/officeDocument/2006/relationships/hyperlink" Id="rId13" Target="https://phet.colorado.edu/en/simulations/vector-addition" TargetMode="External" /><Relationship Type="http://schemas.openxmlformats.org/officeDocument/2006/relationships/hyperlink" Id="rId14" Target="https://www.physicsclassroom.com/Physics-Interactives/Vectors-and-Projectiles/Vector-Addition/Vector-Addition-Interac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://betterlesson.com/lesson/630798/an-introduction-to-free-body-diagrams" TargetMode="External" /><Relationship Type="http://schemas.openxmlformats.org/officeDocument/2006/relationships/hyperlink" Id="rId11" Target="http://www.physicsclassroom.com/mmedia/vectors/va.cfm" TargetMode="External" /><Relationship Type="http://schemas.openxmlformats.org/officeDocument/2006/relationships/hyperlink" Id="rId15" Target="https://docs.google.com/document/d/1szBnR_mZA5WvECXAl-6wyQtQCxTnDcYVXrKPT8NvaFQ/edit?tab=t.0" TargetMode="External" /><Relationship Type="http://schemas.openxmlformats.org/officeDocument/2006/relationships/hyperlink" Id="rId13" Target="https://phet.colorado.edu/en/simulations/vector-addition" TargetMode="External" /><Relationship Type="http://schemas.openxmlformats.org/officeDocument/2006/relationships/hyperlink" Id="rId14" Target="https://www.physicsclassroom.com/Physics-Interactives/Vectors-and-Projectiles/Vector-Addition/Vector-Addition-Interac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2026-06-01T19:57:57Z</dcterms:created>
  <dcterms:modified xsi:type="dcterms:W3CDTF">2026-06-01T19:57:57Z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