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measurement-si-units-answer-key"/>
    <w:p>
      <w:pPr>
        <w:pStyle w:val="Heading1"/>
      </w:pPr>
      <w:r>
        <w:t xml:space="preserve">Measurement &amp; SI Units — Answer Key</w:t>
      </w:r>
    </w:p>
    <w:bookmarkStart w:id="9" w:name="cover"/>
    <w:p>
      <w:pPr>
        <w:pStyle w:val="Heading2"/>
      </w:pPr>
      <w:r>
        <w:t xml:space="preserve">Cover</w:t>
      </w:r>
    </w:p>
    <w:p>
      <w:pPr>
        <w:pStyle w:val="FirstParagraph"/>
      </w:pPr>
      <w:r>
        <w:t xml:space="preserve">Unit: Safety and Measurement — Lesson 02: Measurement &amp; SI Units</w:t>
      </w:r>
      <w:r>
        <w:t xml:space="preserve"> </w:t>
      </w:r>
      <w:r>
        <w:t xml:space="preserve">East Meadow Schools × Valley Stream Central High School District</w:t>
      </w:r>
      <w:r>
        <w:t xml:space="preserve"> </w:t>
      </w:r>
      <w:r>
        <w:t xml:space="preserve">NYSSLS tag: HS-PS1-7</w:t>
      </w:r>
    </w:p>
    <w:bookmarkEnd w:id="9"/>
    <w:bookmarkStart w:id="10" w:name="make-it-make-sense-answers"/>
    <w:p>
      <w:pPr>
        <w:pStyle w:val="Heading2"/>
      </w:pPr>
      <w:r>
        <w:t xml:space="preserve">Make-It-Make-Sense Answers</w:t>
      </w:r>
    </w:p>
    <w:p>
      <w:pPr>
        <w:numPr>
          <w:ilvl w:val="0"/>
          <w:numId w:val="1001"/>
        </w:numPr>
      </w:pPr>
      <w:r>
        <w:rPr>
          <w:b/>
          <w:bCs/>
        </w:rPr>
        <w:t xml:space="preserve">Mass → kilogram (kg) / balance; Volume → liter or milliliter (L or mL) / graduated cylinder; Length → meter or centimeter (m or cm) / ruler; Temperature → kelvin (K) or degree Celsius (°C) / thermometer.</w:t>
      </w:r>
      <w:r>
        <w:t xml:space="preserve"> </w:t>
      </w:r>
      <w:r>
        <w:rPr>
          <w:i/>
          <w:iCs/>
        </w:rPr>
        <w:t xml:space="preserve">Rubric:</w:t>
      </w:r>
      <w:r>
        <w:t xml:space="preserve"> </w:t>
      </w:r>
      <w:r>
        <w:t xml:space="preserve">1 point per correct row (unit + instrument both correct) for 4 points total; award half credit if unit is correct but instrument is missing or vice versa. NYSSLS: HS-PS1-7.</w:t>
      </w:r>
    </w:p>
    <w:p>
      <w:pPr>
        <w:numPr>
          <w:ilvl w:val="0"/>
          <w:numId w:val="1001"/>
        </w:numPr>
      </w:pPr>
      <w:r>
        <w:rPr>
          <w:b/>
          <w:bCs/>
        </w:rPr>
        <w:t xml:space="preserve">Correct reading: 37.2 mL.</w:t>
      </w:r>
      <w:r>
        <w:t xml:space="preserve"> </w:t>
      </w:r>
      <w:r>
        <w:t xml:space="preserve">The bottom of the concave meniscus is the correct reference point. Reading at the top edge (where the liquid touches the glass) consistently reads high because the edge of the meniscus sits above the actual liquid level at the center.</w:t>
      </w:r>
      <w:r>
        <w:t xml:space="preserve"> </w:t>
      </w:r>
      <w:r>
        <w:rPr>
          <w:i/>
          <w:iCs/>
        </w:rPr>
        <w:t xml:space="preserve">Rubric:</w:t>
      </w:r>
      <w:r>
        <w:t xml:space="preserve"> </w:t>
      </w:r>
      <w:r>
        <w:t xml:space="preserve">1 point for the correct value; 1 point for a complete explanation that names the meniscus and the direction of error (reads too high). Partial credit: correct value without explanation = 1 point. NYSSLS: HS-PS1-7.</w:t>
      </w:r>
    </w:p>
    <w:p>
      <w:pPr>
        <w:numPr>
          <w:ilvl w:val="0"/>
          <w:numId w:val="1001"/>
        </w:numPr>
      </w:pPr>
      <w:r>
        <w:rPr>
          <w:b/>
          <w:bCs/>
        </w:rPr>
        <w:t xml:space="preserve">Student A: Precise = yes; Accurate = no.</w:t>
      </w:r>
      <w:r>
        <w:t xml:space="preserve"> </w:t>
      </w:r>
      <w:r>
        <w:t xml:space="preserve">The four readings (14.1, 14.2, 14.1, 14.2 g) cluster tightly — the range is only 0.1 g — showing high precision. However, they are all far from the true value of 17.5 g, so accuracy is low. This matches the</w:t>
      </w:r>
      <w:r>
        <w:t xml:space="preserve"> </w:t>
      </w:r>
      <w:r>
        <w:rPr>
          <w:b/>
          <w:bCs/>
        </w:rPr>
        <w:t xml:space="preserve">center dartboard</w:t>
      </w:r>
      <w:r>
        <w:t xml:space="preserve"> </w:t>
      </w:r>
      <w:r>
        <w:t xml:space="preserve">(precise, not accurate).</w:t>
      </w:r>
      <w:r>
        <w:t xml:space="preserve"> </w:t>
      </w:r>
      <w:r>
        <w:rPr>
          <w:b/>
          <w:bCs/>
        </w:rPr>
        <w:t xml:space="preserve">Student B: Precise = no; Accurate = no.</w:t>
      </w:r>
      <w:r>
        <w:t xml:space="preserve"> </w:t>
      </w:r>
      <w:r>
        <w:t xml:space="preserve">The four readings (14.1, 11.8, 15.3, 13.0 g) are spread over a 3.5 g range — the process is inconsistent. They are also far from 17.5 g. This matches the</w:t>
      </w:r>
      <w:r>
        <w:t xml:space="preserve"> </w:t>
      </w:r>
      <w:r>
        <w:rPr>
          <w:b/>
          <w:bCs/>
        </w:rPr>
        <w:t xml:space="preserve">right dartboard</w:t>
      </w:r>
      <w:r>
        <w:t xml:space="preserve"> </w:t>
      </w:r>
      <w:r>
        <w:t xml:space="preserve">(neither).</w:t>
      </w:r>
      <w:r>
        <w:t xml:space="preserve"> </w:t>
      </w:r>
      <w:r>
        <w:rPr>
          <w:i/>
          <w:iCs/>
        </w:rPr>
        <w:t xml:space="preserve">Rubric:</w:t>
      </w:r>
      <w:r>
        <w:t xml:space="preserve"> </w:t>
      </w:r>
      <w:r>
        <w:t xml:space="preserve">1 point per cell in the table (4 points); 1 point each for correct dartboard identification (2 points). NYSSLS: HS-PS1-7.</w:t>
      </w:r>
    </w:p>
    <w:bookmarkEnd w:id="10"/>
    <w:bookmarkStart w:id="11" w:name="exit-ticket-answer"/>
    <w:p>
      <w:pPr>
        <w:pStyle w:val="Heading2"/>
      </w:pPr>
      <w:r>
        <w:t xml:space="preserve">Exit Ticket Answer</w:t>
      </w:r>
    </w:p>
    <w:p>
      <w:pPr>
        <w:numPr>
          <w:ilvl w:val="0"/>
          <w:numId w:val="1002"/>
        </w:numPr>
      </w:pPr>
      <w:r>
        <w:rPr>
          <w:b/>
          <w:bCs/>
        </w:rPr>
        <w:t xml:space="preserve">Yes — the data is precise.</w:t>
      </w:r>
      <w:r>
        <w:t xml:space="preserve"> </w:t>
      </w:r>
      <w:r>
        <w:t xml:space="preserve">The four readings (24.9, 25.0, 24.8, 25.1 mL) span a range of only 0.3 mL and cluster tightly around 24.95 mL. The repeated measurements are close to one another, which is the definition of precision.</w:t>
      </w:r>
    </w:p>
    <w:p>
      <w:pPr>
        <w:numPr>
          <w:ilvl w:val="0"/>
          <w:numId w:val="1002"/>
        </w:numPr>
      </w:pPr>
      <w:r>
        <w:rPr>
          <w:b/>
          <w:bCs/>
        </w:rPr>
        <w:t xml:space="preserve">No — the data is not accurate.</w:t>
      </w:r>
      <w:r>
        <w:t xml:space="preserve"> </w:t>
      </w:r>
      <w:r>
        <w:t xml:space="preserve">The cluster of readings (≈ 25 mL) is far from the true value of 30.0 mL — a difference of approximately 5 mL. Closeness to the true value is the definition of accuracy, and these measurements are not close.</w:t>
      </w:r>
    </w:p>
    <w:p>
      <w:pPr>
        <w:numPr>
          <w:ilvl w:val="0"/>
          <w:numId w:val="1002"/>
        </w:numPr>
      </w:pPr>
      <w:r>
        <w:rPr>
          <w:b/>
          <w:bCs/>
        </w:rPr>
        <w:t xml:space="preserve">Sample full-credit response:</w:t>
      </w:r>
      <w:r>
        <w:t xml:space="preserve"> </w:t>
      </w:r>
      <w:r>
        <w:rPr>
          <w:i/>
          <w:iCs/>
        </w:rPr>
        <w:t xml:space="preserve">“Precision is agreement among repeated measurements — the darts cluster together — while accuracy is closeness to the true value — the cluster lands near the bullseye; data can be precise without being accurate, as when a miscalibrated instrument consistently gives the same wrong reading.”</w:t>
      </w:r>
      <w:r>
        <w:t xml:space="preserve"> </w:t>
      </w:r>
      <w:r>
        <w:t xml:space="preserve">Any equivalent response that (i) defines precision as repeatability/consistency and (ii) defines accuracy as closeness to the true value, and (iii) notes that the two are independent, earns full credit.</w:t>
      </w:r>
    </w:p>
    <w:p>
      <w:pPr>
        <w:pStyle w:val="FirstParagraph"/>
      </w:pPr>
      <w:r>
        <w:rPr>
          <w:i/>
          <w:iCs/>
        </w:rPr>
        <w:t xml:space="preserve">Tolerance/rubric:</w:t>
      </w:r>
      <w:r>
        <w:t xml:space="preserve"> </w:t>
      </w:r>
      <w:r>
        <w:t xml:space="preserve">(a) 1 point for</w:t>
      </w:r>
      <w:r>
        <w:t xml:space="preserve"> </w:t>
      </w:r>
      <w:r>
        <w:t xml:space="preserve">“yes”</w:t>
      </w:r>
      <w:r>
        <w:t xml:space="preserve"> </w:t>
      </w:r>
      <w:r>
        <w:t xml:space="preserve">+ correct reasoning citing the range or clustering; (b) 1 point for</w:t>
      </w:r>
      <w:r>
        <w:t xml:space="preserve"> </w:t>
      </w:r>
      <w:r>
        <w:t xml:space="preserve">“no”</w:t>
      </w:r>
      <w:r>
        <w:t xml:space="preserve"> </w:t>
      </w:r>
      <w:r>
        <w:t xml:space="preserve">+ correct reasoning citing the distance from 30.0 mL; (c) 2 points for a response that correctly distinguishes both terms and notes independence; 1 point for defining only one term correctly. NYSSLS: HS-PS1-7.</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3"/>
        </w:numPr>
      </w:pPr>
      <w:r>
        <w:t xml:space="preserve">A concrete behavioral intention —</w:t>
      </w:r>
      <w:r>
        <w:t xml:space="preserve"> </w:t>
      </w:r>
      <w:r>
        <w:t xml:space="preserve">“I will write the unit immediately after every number in my data table, not at the end”</w:t>
      </w:r>
      <w:r>
        <w:t xml:space="preserve"> </w:t>
      </w:r>
      <w:r>
        <w:t xml:space="preserve">— rather than a generic statement like</w:t>
      </w:r>
      <w:r>
        <w:t xml:space="preserve"> </w:t>
      </w:r>
      <w:r>
        <w:t xml:space="preserve">“I’ll include units.”</w:t>
      </w:r>
    </w:p>
    <w:p>
      <w:pPr>
        <w:pStyle w:val="Compact"/>
        <w:numPr>
          <w:ilvl w:val="0"/>
          <w:numId w:val="1003"/>
        </w:numPr>
      </w:pPr>
      <w:r>
        <w:t xml:space="preserve">Any response that connects the Mars orbiter story to their own measurement practice shows the strongest transfer — e.g.,</w:t>
      </w:r>
      <w:r>
        <w:t xml:space="preserve"> </w:t>
      </w:r>
      <w:r>
        <w:t xml:space="preserve">“if a spacecraft can be lost because of a unit mistake, I can lose points on a Regents question for the same reason.”</w:t>
      </w:r>
    </w:p>
    <w:p>
      <w:pPr>
        <w:pStyle w:val="Compact"/>
        <w:numPr>
          <w:ilvl w:val="0"/>
          <w:numId w:val="1003"/>
        </w:numPr>
      </w:pPr>
      <w:r>
        <w:t xml:space="preserve">Responses that distinguish precision from accuracy in their own words — e.g.,</w:t>
      </w:r>
      <w:r>
        <w:t xml:space="preserve"> </w:t>
      </w:r>
      <w:r>
        <w:t xml:space="preserve">“I realized I thought precise and accurate were the same word”</w:t>
      </w:r>
      <w:r>
        <w:t xml:space="preserve"> </w:t>
      </w:r>
      <w:r>
        <w:t xml:space="preserve">— signal that the central conceptual goal of the lesson landed.</w:t>
      </w:r>
    </w:p>
    <w:p>
      <w:pPr>
        <w:pStyle w:val="FirstParagraph"/>
      </w:pPr>
      <w:r>
        <w:t xml:space="preserve">If a student writes</w:t>
      </w:r>
      <w:r>
        <w:t xml:space="preserve"> </w:t>
      </w:r>
      <w:r>
        <w:t xml:space="preserve">“nothing”</w:t>
      </w:r>
      <w:r>
        <w:t xml:space="preserve"> </w:t>
      </w:r>
      <w:r>
        <w:t xml:space="preserve">or leaves the reflection blank, check in briefly before the next class — the measurement-station format requires students to record real data, and students who disengaged may have gaps in their data table that need to be addressed before Unit 2.</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2026-06-01T18:14:35Z</dcterms:created>
  <dcterms:modified xsi:type="dcterms:W3CDTF">2026-06-01T18:14:35Z</dcterms:modified>
</cp:coreProperties>
</file>

<file path=docProps/custom.xml><?xml version="1.0" encoding="utf-8"?>
<Properties xmlns="http://schemas.openxmlformats.org/officeDocument/2006/custom-properties" xmlns:vt="http://schemas.openxmlformats.org/officeDocument/2006/docPropsVTypes"/>
</file>