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662f85695d19da78ac474194bcee1b7b940609f"/>
    <w:p>
      <w:pPr>
        <w:pStyle w:val="Heading1"/>
      </w:pPr>
      <w:r>
        <w:t xml:space="preserve">The 2025 Chemistry Reference Tables — Answer Key</w:t>
      </w:r>
    </w:p>
    <w:bookmarkStart w:id="9" w:name="cover"/>
    <w:p>
      <w:pPr>
        <w:pStyle w:val="Heading2"/>
      </w:pPr>
      <w:r>
        <w:t xml:space="preserve">Cover</w:t>
      </w:r>
    </w:p>
    <w:p>
      <w:pPr>
        <w:pStyle w:val="FirstParagraph"/>
      </w:pPr>
      <w:r>
        <w:t xml:space="preserve">Unit: Safety and Measurement — Lesson 08: The 2025 Chemistry Reference Tables</w:t>
      </w:r>
      <w:r>
        <w:t xml:space="preserve"> </w:t>
      </w:r>
      <w:r>
        <w:t xml:space="preserve">East Meadow Schools × Valley Stream Central High School District</w:t>
      </w:r>
      <w:r>
        <w:t xml:space="preserve"> </w:t>
      </w:r>
      <w:r>
        <w:t xml:space="preserve">NYSSLS tag: Foundational (SEP — Obtaining, Evaluating, and Communicating Information)</w:t>
      </w:r>
    </w:p>
    <w:bookmarkEnd w:id="9"/>
    <w:bookmarkStart w:id="10" w:name="make-it-make-sense-answers"/>
    <w:p>
      <w:pPr>
        <w:pStyle w:val="Heading2"/>
      </w:pPr>
      <w:r>
        <w:t xml:space="preserve">Make-It-Make-Sense Answers</w:t>
      </w:r>
    </w:p>
    <w:p>
      <w:pPr>
        <w:pStyle w:val="FirstParagraph"/>
      </w:pPr>
      <w:r>
        <w:rPr>
          <w:b/>
          <w:bCs/>
        </w:rPr>
        <w:t xml:space="preserve">1. Which section holds atomic symbols and atomic masses?</w:t>
      </w:r>
    </w:p>
    <w:p>
      <w:pPr>
        <w:pStyle w:val="BodyText"/>
      </w:pPr>
      <w:r>
        <w:t xml:space="preserve">Section name: the</w:t>
      </w:r>
      <w:r>
        <w:t xml:space="preserve"> </w:t>
      </w:r>
      <w:r>
        <w:rPr>
          <w:b/>
          <w:bCs/>
        </w:rPr>
        <w:t xml:space="preserve">Periodic Table</w:t>
      </w:r>
      <w:r>
        <w:t xml:space="preserve"> </w:t>
      </w:r>
      <w:r>
        <w:t xml:space="preserve">(the full periodic table page in the reference booklet; each element’s box displays symbol, atomic number, and atomic mass).</w:t>
      </w:r>
    </w:p>
    <w:p>
      <w:pPr>
        <w:pStyle w:val="BodyText"/>
      </w:pPr>
      <w:r>
        <w:t xml:space="preserve">Atomic mass of iron (Fe):</w:t>
      </w:r>
      <w:r>
        <w:t xml:space="preserve"> </w:t>
      </w:r>
      <w:r>
        <w:rPr>
          <w:b/>
          <w:bCs/>
        </w:rPr>
        <w:t xml:space="preserve">55.8 g/mol</w:t>
      </w:r>
      <w:r>
        <w:t xml:space="preserve"> </w:t>
      </w:r>
      <w:r>
        <w:t xml:space="preserve">(accept 55.85 g/mol; the reference tables list the value rounded to one decimal place as 55.8 g/mol).</w:t>
      </w:r>
    </w:p>
    <w:p>
      <w:pPr>
        <w:pStyle w:val="BodyText"/>
      </w:pPr>
      <w:r>
        <w:rPr>
          <w:i/>
          <w:iCs/>
        </w:rPr>
        <w:t xml:space="preserve">Rubric:</w:t>
      </w:r>
      <w:r>
        <w:t xml:space="preserve"> </w:t>
      </w:r>
      <w:r>
        <w:t xml:space="preserve">1 point for naming the Periodic Table section (accept</w:t>
      </w:r>
      <w:r>
        <w:t xml:space="preserve"> </w:t>
      </w:r>
      <w:r>
        <w:t xml:space="preserve">“the periodic table page”</w:t>
      </w:r>
      <w:r>
        <w:t xml:space="preserve">); 1 point for the atomic mass of Fe (accept 55.8–55.85 g/mol). A student who writes only the atomic number (26) earns no credit for the second part — probe:</w:t>
      </w:r>
      <w:r>
        <w:t xml:space="preserve"> </w:t>
      </w:r>
      <w:r>
        <w:t xml:space="preserve">“Atomic number tells you the number of protons; atomic</w:t>
      </w:r>
      <w:r>
        <w:t xml:space="preserve"> </w:t>
      </w:r>
      <w:r>
        <w:rPr>
          <w:i/>
          <w:iCs/>
        </w:rPr>
        <w:t xml:space="preserve">mass</w:t>
      </w:r>
      <w:r>
        <w:t xml:space="preserve"> </w:t>
      </w:r>
      <w:r>
        <w:t xml:space="preserve">is the average mass per atom in g/mol, found in the same box but a different position.”</w:t>
      </w:r>
      <w:r>
        <w:t xml:space="preserve"> </w:t>
      </w:r>
      <w:r>
        <w:t xml:space="preserve">NYSSLS: SEP — Obtaining and Evaluating Information.</w:t>
      </w:r>
    </w:p>
    <w:p>
      <w:pPr>
        <w:pStyle w:val="BodyText"/>
      </w:pPr>
      <w:r>
        <w:rPr>
          <w:b/>
          <w:bCs/>
        </w:rPr>
        <w:t xml:space="preserve">2. Which section gives the value of standard pressure at STP?</w:t>
      </w:r>
    </w:p>
    <w:p>
      <w:pPr>
        <w:pStyle w:val="BodyText"/>
      </w:pPr>
      <w:r>
        <w:t xml:space="preserve">Section name:</w:t>
      </w:r>
      <w:r>
        <w:t xml:space="preserve"> </w:t>
      </w:r>
      <w:r>
        <w:rPr>
          <w:b/>
          <w:bCs/>
        </w:rPr>
        <w:t xml:space="preserve">Physical Constants</w:t>
      </w:r>
      <w:r>
        <w:t xml:space="preserve"> </w:t>
      </w:r>
      <w:r>
        <w:t xml:space="preserve">(also accept</w:t>
      </w:r>
      <w:r>
        <w:t xml:space="preserve"> </w:t>
      </w:r>
      <w:r>
        <w:t xml:space="preserve">“Selected Units”</w:t>
      </w:r>
      <w:r>
        <w:t xml:space="preserve"> </w:t>
      </w:r>
      <w:r>
        <w:t xml:space="preserve">or</w:t>
      </w:r>
      <w:r>
        <w:t xml:space="preserve"> </w:t>
      </w:r>
      <w:r>
        <w:t xml:space="preserve">“Physical Constants for Water and the Gas Laws”</w:t>
      </w:r>
      <w:r>
        <w:t xml:space="preserve"> </w:t>
      </w:r>
      <w:r>
        <w:t xml:space="preserve">— table name varies slightly by edition). The value is</w:t>
      </w:r>
      <w:r>
        <w:t xml:space="preserve"> </w:t>
      </w:r>
      <w:r>
        <w:rPr>
          <w:b/>
          <w:bCs/>
        </w:rPr>
        <w:t xml:space="preserve">101.3 kPa</w:t>
      </w:r>
      <w:r>
        <w:t xml:space="preserve">.</w:t>
      </w:r>
    </w:p>
    <w:p>
      <w:pPr>
        <w:pStyle w:val="BodyText"/>
      </w:pPr>
      <w:r>
        <w:rPr>
          <w:i/>
          <w:iCs/>
        </w:rPr>
        <w:t xml:space="preserve">Rubric:</w:t>
      </w:r>
      <w:r>
        <w:t xml:space="preserve"> </w:t>
      </w:r>
      <w:r>
        <w:t xml:space="preserve">1 point for a valid section name that contains standard pressure; 1 point for 101.3 kPa. A student who writes</w:t>
      </w:r>
      <w:r>
        <w:t xml:space="preserve"> </w:t>
      </w:r>
      <w:r>
        <w:t xml:space="preserve">“1 atm”</w:t>
      </w:r>
      <w:r>
        <w:t xml:space="preserve"> </w:t>
      </w:r>
      <w:r>
        <w:t xml:space="preserve">earns partial credit (1 point for knowing the value conceptually) but must note the kPa equivalent; on the Regents, the tables express pressure in kPa. If a student writes</w:t>
      </w:r>
      <w:r>
        <w:t xml:space="preserve"> </w:t>
      </w:r>
      <w:r>
        <w:t xml:space="preserve">“0 °C”</w:t>
      </w:r>
      <w:r>
        <w:t xml:space="preserve"> </w:t>
      </w:r>
      <w:r>
        <w:t xml:space="preserve">in response to this question, they have confused temperature and pressure — write:</w:t>
      </w:r>
      <w:r>
        <w:t xml:space="preserve"> </w:t>
      </w:r>
      <w:r>
        <w:t xml:space="preserve">“STP has both a temperature and a pressure; this question asks for the</w:t>
      </w:r>
      <w:r>
        <w:t xml:space="preserve"> </w:t>
      </w:r>
      <w:r>
        <w:rPr>
          <w:i/>
          <w:iCs/>
        </w:rPr>
        <w:t xml:space="preserve">pressure</w:t>
      </w:r>
      <w:r>
        <w:t xml:space="preserve">, which is 101.3 kPa.”</w:t>
      </w:r>
      <w:r>
        <w:t xml:space="preserve"> </w:t>
      </w:r>
      <w:r>
        <w:t xml:space="preserve">NYSSLS: SEP — Obtaining and Evaluating Information.</w:t>
      </w:r>
    </w:p>
    <w:p>
      <w:pPr>
        <w:pStyle w:val="BodyText"/>
      </w:pPr>
      <w:r>
        <w:rPr>
          <w:b/>
          <w:bCs/>
        </w:rPr>
        <w:t xml:space="preserve">3. Mass of 500 mL of water at 4 °C:</w:t>
      </w:r>
    </w:p>
    <w:p>
      <w:pPr>
        <w:pStyle w:val="BodyText"/>
      </w:pPr>
      <w:r>
        <w:t xml:space="preserve">Density of water (from reference tables): 1.00 g/mL</w:t>
      </w:r>
    </w:p>
    <w:p>
      <w:pPr>
        <w:pStyle w:val="BodyText"/>
      </w:pPr>
      <w:r>
        <w:t xml:space="preserve">Setup: mass = density × volume = 1.00 g/mL × 500 mL =</w:t>
      </w:r>
      <w:r>
        <w:t xml:space="preserve"> </w:t>
      </w:r>
      <w:r>
        <w:rPr>
          <w:b/>
          <w:bCs/>
        </w:rPr>
        <w:t xml:space="preserve">500 g</w:t>
      </w:r>
    </w:p>
    <w:p>
      <w:pPr>
        <w:pStyle w:val="BodyText"/>
      </w:pPr>
      <w:r>
        <w:t xml:space="preserve">Unit cancellation: (g/mL) × (mL) = g ✓</w:t>
      </w:r>
    </w:p>
    <w:p>
      <w:pPr>
        <w:pStyle w:val="BodyText"/>
      </w:pPr>
      <w:r>
        <w:rPr>
          <w:i/>
          <w:iCs/>
        </w:rPr>
        <w:t xml:space="preserve">Rubric:</w:t>
      </w:r>
      <w:r>
        <w:t xml:space="preserve"> </w:t>
      </w:r>
      <w:r>
        <w:t xml:space="preserve">1 point for correctly looking up density = 1.00 g/mL and labeling its source; 1 point for the correct setup (density × volume); 1 point for the correct answer with correct units (500 g). A student who writes 500 g/mL (wrong units) made the unit-cancellation error; write:</w:t>
      </w:r>
      <w:r>
        <w:t xml:space="preserve"> </w:t>
      </w:r>
      <w:r>
        <w:t xml:space="preserve">“When you multiply g/mL by mL, the mL units cancel, leaving only grams.”</w:t>
      </w:r>
      <w:r>
        <w:t xml:space="preserve"> </w:t>
      </w:r>
      <w:r>
        <w:t xml:space="preserve">A student who uses density = 1 (no units) earns the setup point but loses the unit-cancellation point; write:</w:t>
      </w:r>
      <w:r>
        <w:t xml:space="preserve"> </w:t>
      </w:r>
      <w:r>
        <w:t xml:space="preserve">“Include the units in your setup — g/mL × mL = g, not just 1 × 500 = 500.”</w:t>
      </w:r>
      <w:r>
        <w:t xml:space="preserve"> </w:t>
      </w:r>
      <w:r>
        <w:t xml:space="preserve">NYSSLS: SEP — Obtaining and Evaluating Information; connects to L05 Density.</w:t>
      </w:r>
    </w:p>
    <w:p>
      <w:pPr>
        <w:pStyle w:val="BodyText"/>
      </w:pPr>
      <w:r>
        <w:rPr>
          <w:b/>
          <w:bCs/>
        </w:rPr>
        <w:t xml:space="preserve">4. Why</w:t>
      </w:r>
      <w:r>
        <w:rPr>
          <w:b/>
          <w:bCs/>
        </w:rPr>
        <w:t xml:space="preserve"> </w:t>
      </w:r>
      <w:r>
        <w:rPr>
          <w:b/>
          <w:bCs/>
        </w:rPr>
        <w:t xml:space="preserve">“STP means room temperature”</w:t>
      </w:r>
      <w:r>
        <w:rPr>
          <w:b/>
          <w:bCs/>
        </w:rPr>
        <w:t xml:space="preserve"> </w:t>
      </w:r>
      <w:r>
        <w:rPr>
          <w:b/>
          <w:bCs/>
        </w:rPr>
        <w:t xml:space="preserve">is incorrect:</w:t>
      </w:r>
    </w:p>
    <w:p>
      <w:pPr>
        <w:pStyle w:val="BodyText"/>
      </w:pPr>
      <w:r>
        <w:rPr>
          <w:i/>
          <w:iCs/>
        </w:rPr>
        <w:t xml:space="preserve">Full-credit model answer:</w:t>
      </w:r>
      <w:r>
        <w:t xml:space="preserve"> </w:t>
      </w:r>
      <w:r>
        <w:t xml:space="preserve">STP is defined in the reference tables as 0 °C (273 K) and 101.3 kPa. Room temperature is approximately 25 °C (298 K), which is significantly warmer than STP. Using room temperature in a gas-law calculation that specifies STP would produce an incorrect result because the temperature value is 25 degrees off.</w:t>
      </w:r>
    </w:p>
    <w:p>
      <w:pPr>
        <w:pStyle w:val="BodyText"/>
      </w:pPr>
      <w:r>
        <w:rPr>
          <w:i/>
          <w:iCs/>
        </w:rPr>
        <w:t xml:space="preserve">Acceptable variations:</w:t>
      </w:r>
      <w:r>
        <w:t xml:space="preserve"> </w:t>
      </w:r>
      <w:r>
        <w:t xml:space="preserve">Any response that (1) states the correct STP temperature (0 °C or 273 K) and (2) explains that room temperature (~25 °C) is different earns full credit.</w:t>
      </w:r>
    </w:p>
    <w:p>
      <w:pPr>
        <w:pStyle w:val="BodyText"/>
      </w:pPr>
      <w:r>
        <w:rPr>
          <w:i/>
          <w:iCs/>
        </w:rPr>
        <w:t xml:space="preserve">Rubric:</w:t>
      </w:r>
      <w:r>
        <w:t xml:space="preserve"> </w:t>
      </w:r>
      <w:r>
        <w:t xml:space="preserve">1 point for stating the correct STP temperature (accept 0 °C or 273 K); 1 point for explaining that room temperature and STP temperature are not equal. A student who writes only</w:t>
      </w:r>
      <w:r>
        <w:t xml:space="preserve"> </w:t>
      </w:r>
      <w:r>
        <w:t xml:space="preserve">“STP is 0 °C”</w:t>
      </w:r>
      <w:r>
        <w:t xml:space="preserve"> </w:t>
      </w:r>
      <w:r>
        <w:t xml:space="preserve">without explaining the distinction earns 1 point. NYSSLS: SEP — Evaluating Information.</w:t>
      </w:r>
    </w:p>
    <w:bookmarkEnd w:id="10"/>
    <w:bookmarkStart w:id="11" w:name="exit-ticket-answer"/>
    <w:p>
      <w:pPr>
        <w:pStyle w:val="Heading2"/>
      </w:pPr>
      <w:r>
        <w:t xml:space="preserve">Exit Ticket Answer</w:t>
      </w:r>
    </w:p>
    <w:p>
      <w:pPr>
        <w:pStyle w:val="FirstParagraph"/>
      </w:pPr>
      <w:r>
        <w:rPr>
          <w:b/>
          <w:bCs/>
        </w:rPr>
        <w:t xml:space="preserve">(a) Which table gives the density of water?</w:t>
      </w:r>
    </w:p>
    <w:p>
      <w:pPr>
        <w:pStyle w:val="BodyText"/>
      </w:pPr>
      <w:r>
        <w:rPr>
          <w:i/>
          <w:iCs/>
        </w:rPr>
        <w:t xml:space="preserve">Full-credit answer:</w:t>
      </w:r>
      <w:r>
        <w:t xml:space="preserve"> </w:t>
      </w:r>
      <w:r>
        <w:t xml:space="preserve">the</w:t>
      </w:r>
      <w:r>
        <w:t xml:space="preserve"> </w:t>
      </w:r>
      <w:r>
        <w:rPr>
          <w:b/>
          <w:bCs/>
        </w:rPr>
        <w:t xml:space="preserve">Physical Constants for Water</w:t>
      </w:r>
      <w:r>
        <w:t xml:space="preserve"> </w:t>
      </w:r>
      <w:r>
        <w:t xml:space="preserve">table (accept</w:t>
      </w:r>
      <w:r>
        <w:t xml:space="preserve"> </w:t>
      </w:r>
      <w:r>
        <w:t xml:space="preserve">“Physical Constants table,”</w:t>
      </w:r>
      <w:r>
        <w:t xml:space="preserve"> </w:t>
      </w:r>
      <w:r>
        <w:t xml:space="preserve">“Properties of Water table,”</w:t>
      </w:r>
      <w:r>
        <w:t xml:space="preserve"> </w:t>
      </w:r>
      <w:r>
        <w:t xml:space="preserve">or any table name from the 2025 edition that specifically lists the density of water as 1.00 g/mL; the exact table name varies slightly between editions). Do not accept</w:t>
      </w:r>
      <w:r>
        <w:t xml:space="preserve"> </w:t>
      </w:r>
      <w:r>
        <w:t xml:space="preserve">“the Periodic Table”</w:t>
      </w:r>
      <w:r>
        <w:t xml:space="preserve"> </w:t>
      </w:r>
      <w:r>
        <w:t xml:space="preserve">— the Periodic Table gives elemental properties, not bulk physical constants for pure substances.</w:t>
      </w:r>
    </w:p>
    <w:p>
      <w:pPr>
        <w:pStyle w:val="BodyText"/>
      </w:pPr>
      <w:r>
        <w:rPr>
          <w:i/>
          <w:iCs/>
        </w:rPr>
        <w:t xml:space="preserve">Rubric:</w:t>
      </w:r>
      <w:r>
        <w:t xml:space="preserve"> </w:t>
      </w:r>
      <w:r>
        <w:t xml:space="preserve">2 points for a table name that is clearly the physical-constants or properties-of-water section; 1 point for a vague answer (</w:t>
      </w:r>
      <w:r>
        <w:t xml:space="preserve">“somewhere in the back”</w:t>
      </w:r>
      <w:r>
        <w:t xml:space="preserve">) that shows the student attempted the lookup but cannot name the section. A student who writes</w:t>
      </w:r>
      <w:r>
        <w:t xml:space="preserve"> </w:t>
      </w:r>
      <w:r>
        <w:t xml:space="preserve">“the solubility table”</w:t>
      </w:r>
      <w:r>
        <w:t xml:space="preserve"> </w:t>
      </w:r>
      <w:r>
        <w:t xml:space="preserve">or</w:t>
      </w:r>
      <w:r>
        <w:t xml:space="preserve"> </w:t>
      </w:r>
      <w:r>
        <w:t xml:space="preserve">“the activity series”</w:t>
      </w:r>
      <w:r>
        <w:t xml:space="preserve"> </w:t>
      </w:r>
      <w:r>
        <w:t xml:space="preserve">clearly confused sections; write:</w:t>
      </w:r>
      <w:r>
        <w:t xml:space="preserve"> </w:t>
      </w:r>
      <w:r>
        <w:t xml:space="preserve">“The density of water is a physical constant — look in the Physical Constants table, not the solubility or reactivity section.”</w:t>
      </w:r>
      <w:r>
        <w:t xml:space="preserve"> </w:t>
      </w:r>
      <w:r>
        <w:t xml:space="preserve">NYSSLS: SEP — Obtaining Information.</w:t>
      </w:r>
    </w:p>
    <w:p>
      <w:pPr>
        <w:pStyle w:val="BodyText"/>
      </w:pPr>
      <w:r>
        <w:rPr>
          <w:b/>
          <w:bCs/>
        </w:rPr>
        <w:t xml:space="preserve">(b) STP conditions:</w:t>
      </w:r>
    </w:p>
    <w:p>
      <w:pPr>
        <w:pStyle w:val="BodyText"/>
      </w:pPr>
      <w:r>
        <w:t xml:space="preserve">Temperature:</w:t>
      </w:r>
      <w:r>
        <w:t xml:space="preserve"> </w:t>
      </w:r>
      <w:r>
        <w:rPr>
          <w:b/>
          <w:bCs/>
        </w:rPr>
        <w:t xml:space="preserve">273 K</w:t>
      </w:r>
      <w:r>
        <w:t xml:space="preserve"> </w:t>
      </w:r>
      <w:r>
        <w:t xml:space="preserve">(also acceptable: 0 °C — but on the Regents, K is preferred for gas-law calculations; accept either)</w:t>
      </w:r>
    </w:p>
    <w:p>
      <w:pPr>
        <w:pStyle w:val="BodyText"/>
      </w:pPr>
      <w:r>
        <w:t xml:space="preserve">Pressure:</w:t>
      </w:r>
      <w:r>
        <w:t xml:space="preserve"> </w:t>
      </w:r>
      <w:r>
        <w:rPr>
          <w:b/>
          <w:bCs/>
        </w:rPr>
        <w:t xml:space="preserve">101.3 kPa</w:t>
      </w:r>
    </w:p>
    <w:p>
      <w:pPr>
        <w:pStyle w:val="BodyText"/>
      </w:pPr>
      <w:r>
        <w:rPr>
          <w:i/>
          <w:iCs/>
        </w:rPr>
        <w:t xml:space="preserve">Rubric:</w:t>
      </w:r>
      <w:r>
        <w:t xml:space="preserve"> </w:t>
      </w:r>
      <w:r>
        <w:t xml:space="preserve">1 point for the correct temperature (273 K or 0 °C); 1 point for the correct pressure (101.3 kPa). A student who writes only one value earns 1 point; a student who writes 25 °C for temperature has confused STP with room temperature — write:</w:t>
      </w:r>
      <w:r>
        <w:t xml:space="preserve"> </w:t>
      </w:r>
      <w:r>
        <w:t xml:space="preserve">“STP is the</w:t>
      </w:r>
      <w:r>
        <w:t xml:space="preserve"> </w:t>
      </w:r>
      <w:r>
        <w:rPr>
          <w:i/>
          <w:iCs/>
        </w:rPr>
        <w:t xml:space="preserve">standard</w:t>
      </w:r>
      <w:r>
        <w:t xml:space="preserve"> </w:t>
      </w:r>
      <w:r>
        <w:t xml:space="preserve">reference point: 273 K (0 °C), not 25 °C, which is room temperature.”</w:t>
      </w:r>
      <w:r>
        <w:t xml:space="preserve"> </w:t>
      </w:r>
      <w:r>
        <w:t xml:space="preserve">A student who writes the pressure in atm (1 atm) earns 0 on that part — the reference tables express pressure in kPa and the Regents expects kPa. NYSSLS: SEP — Obtaining Information.</w:t>
      </w:r>
    </w:p>
    <w:p>
      <w:pPr>
        <w:pStyle w:val="BodyText"/>
      </w:pPr>
      <w:r>
        <w:rPr>
          <w:b/>
          <w:bCs/>
        </w:rPr>
        <w:t xml:space="preserve">(c) Why practicing with the reference tables before the exam is worth class time:</w:t>
      </w:r>
    </w:p>
    <w:p>
      <w:pPr>
        <w:pStyle w:val="BodyText"/>
      </w:pPr>
      <w:r>
        <w:rPr>
          <w:i/>
          <w:iCs/>
        </w:rPr>
        <w:t xml:space="preserve">Full-credit model answer:</w:t>
      </w:r>
      <w:r>
        <w:t xml:space="preserve"> </w:t>
      </w:r>
      <w:r>
        <w:t xml:space="preserve">The reference tables turn the need to memorize individual constants into a fast lookup skill — fluency means finding the right datum in the right table quickly under exam pressure, freeing up working memory for the reasoning the Regents actually rewards, and that fluency only develops through deliberate practice before the exam.</w:t>
      </w:r>
    </w:p>
    <w:p>
      <w:pPr>
        <w:pStyle w:val="BodyText"/>
      </w:pPr>
      <w:r>
        <w:rPr>
          <w:i/>
          <w:iCs/>
        </w:rPr>
        <w:t xml:space="preserve">Acceptable variations:</w:t>
      </w:r>
      <w:r>
        <w:t xml:space="preserve"> </w:t>
      </w:r>
      <w:r>
        <w:t xml:space="preserve">Any response that explains (1) the tables replace memorization of constants and (2) using them quickly requires prior practice earns full credit. A response that says only</w:t>
      </w:r>
      <w:r>
        <w:t xml:space="preserve"> </w:t>
      </w:r>
      <w:r>
        <w:t xml:space="preserve">“so you know where things are”</w:t>
      </w:r>
      <w:r>
        <w:t xml:space="preserve"> </w:t>
      </w:r>
      <w:r>
        <w:t xml:space="preserve">earns 1 point — push for the</w:t>
      </w:r>
      <w:r>
        <w:t xml:space="preserve"> </w:t>
      </w:r>
      <w:r>
        <w:rPr>
          <w:i/>
          <w:iCs/>
        </w:rPr>
        <w:t xml:space="preserve">why it matters under exam conditions</w:t>
      </w:r>
      <w:r>
        <w:t xml:space="preserve"> </w:t>
      </w:r>
      <w:r>
        <w:t xml:space="preserve">piece.</w:t>
      </w:r>
    </w:p>
    <w:p>
      <w:pPr>
        <w:pStyle w:val="BodyText"/>
      </w:pPr>
      <w:r>
        <w:rPr>
          <w:i/>
          <w:iCs/>
        </w:rPr>
        <w:t xml:space="preserve">Rubric:</w:t>
      </w:r>
      <w:r>
        <w:t xml:space="preserve"> </w:t>
      </w:r>
      <w:r>
        <w:t xml:space="preserve">2 points total — 1 point for the idea that practice builds speed/fluency with the lookup; 1 point for explicitly connecting that fluency to exam performance (time pressure, accuracy, freeing cognitive load for reasoning). NYSSLS: SEP — Obtaining, Evaluating, and Communicating Information.</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1"/>
        </w:numPr>
      </w:pPr>
      <w:r>
        <w:t xml:space="preserve">Students who name a specific section they now feel confident navigating (e.g.,</w:t>
      </w:r>
      <w:r>
        <w:t xml:space="preserve"> </w:t>
      </w:r>
      <w:r>
        <w:t xml:space="preserve">“I can find the Physical Constants table in about five seconds”</w:t>
      </w:r>
      <w:r>
        <w:t xml:space="preserve">) are demonstrating exactly the lesson’s target outcome — they have internalized a skill, not just a fact.</w:t>
      </w:r>
    </w:p>
    <w:p>
      <w:pPr>
        <w:pStyle w:val="Compact"/>
        <w:numPr>
          <w:ilvl w:val="0"/>
          <w:numId w:val="1001"/>
        </w:numPr>
      </w:pPr>
      <w:r>
        <w:t xml:space="preserve">Students who connect the scavenger hunt to later units (</w:t>
      </w:r>
      <w:r>
        <w:t xml:space="preserve">“I know I’ll need the Periodic Table constantly for GFM and percent composition”</w:t>
      </w:r>
      <w:r>
        <w:t xml:space="preserve">) are showing transfer — they recognize the reference tables as a tool for the whole course, not just today’s lesson.</w:t>
      </w:r>
    </w:p>
    <w:p>
      <w:pPr>
        <w:pStyle w:val="Compact"/>
        <w:numPr>
          <w:ilvl w:val="0"/>
          <w:numId w:val="1001"/>
        </w:numPr>
      </w:pPr>
      <w:r>
        <w:t xml:space="preserve">Students who cite a partner’s strategy (</w:t>
      </w:r>
      <w:r>
        <w:t xml:space="preserve">“my partner showed me to use the section headers, not scan every page”</w:t>
      </w:r>
      <w:r>
        <w:t xml:space="preserve">) are identifying the collaborative aspect of the ACTIVE LEARNING model as a learning mechanism.</w:t>
      </w:r>
    </w:p>
    <w:p>
      <w:pPr>
        <w:pStyle w:val="FirstParagraph"/>
      </w:pPr>
      <w:r>
        <w:t xml:space="preserve">If a student’s Exit Ticket shows the correct STP temperature in °C but not in K, or vice versa, note the preference for K in gas-law contexts and invite the student to write both forms. If a student’s section name for the density of water is imprecise (e.g.,</w:t>
      </w:r>
      <w:r>
        <w:t xml:space="preserve"> </w:t>
      </w:r>
      <w:r>
        <w:t xml:space="preserve">“the water table”</w:t>
      </w:r>
      <w:r>
        <w:t xml:space="preserve">), provide the exact name from the 2025 edition and ask the student to verify it matches before the next class. The precision of the section name is a skill in itself — it signals that the student has</w:t>
      </w:r>
      <w:r>
        <w:t xml:space="preserve"> </w:t>
      </w:r>
      <w:r>
        <w:rPr>
          <w:i/>
          <w:iCs/>
        </w:rPr>
        <w:t xml:space="preserve">read</w:t>
      </w:r>
      <w:r>
        <w:t xml:space="preserve"> </w:t>
      </w:r>
      <w:r>
        <w:t xml:space="preserve">the header, not just skimmed the page.</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2026-06-01T18:14:38Z</dcterms:created>
  <dcterms:modified xsi:type="dcterms:W3CDTF">2026-06-01T18:14:38Z</dcterms:modified>
</cp:coreProperties>
</file>

<file path=docProps/custom.xml><?xml version="1.0" encoding="utf-8"?>
<Properties xmlns="http://schemas.openxmlformats.org/officeDocument/2006/custom-properties" xmlns:vt="http://schemas.openxmlformats.org/officeDocument/2006/docPropsVTypes"/>
</file>