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0c970c121dfd9c13238f3deda687e76222a3f9a"/>
    <w:p>
      <w:pPr>
        <w:pStyle w:val="Heading1"/>
      </w:pPr>
      <w:r>
        <w:t xml:space="preserve">The 2025 Chemistry Reference Tables — Student Notes</w:t>
      </w:r>
    </w:p>
    <w:p>
      <w:pPr>
        <w:pStyle w:val="FirstParagraph"/>
      </w:pPr>
      <w:r>
        <w:rPr>
          <w:b/>
          <w:bCs/>
        </w:rPr>
        <w:t xml:space="preserve">Unit: Safety and Measurement — Lesson 08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Navigate the 2025 NYS Chemistry Reference Tables to find a specific value, identify its table or section, and record its correct units.</w:t>
      </w:r>
    </w:p>
    <w:p>
      <w:pPr>
        <w:pStyle w:val="Compact"/>
        <w:numPr>
          <w:ilvl w:val="0"/>
          <w:numId w:val="1001"/>
        </w:numPr>
      </w:pPr>
      <w:r>
        <w:t xml:space="preserve">State the definition of</w:t>
      </w:r>
      <w:r>
        <w:t xml:space="preserve"> </w:t>
      </w:r>
      <w:r>
        <w:rPr>
          <w:b/>
          <w:bCs/>
        </w:rPr>
        <w:t xml:space="preserve">STP</w:t>
      </w:r>
      <w:r>
        <w:t xml:space="preserve"> </w:t>
      </w:r>
      <w:r>
        <w:t xml:space="preserve">and give both the temperature (in K and °C) and the pressure (in kPa) as defined in the reference tables.</w:t>
      </w:r>
    </w:p>
    <w:p>
      <w:pPr>
        <w:pStyle w:val="Compact"/>
        <w:numPr>
          <w:ilvl w:val="0"/>
          <w:numId w:val="1001"/>
        </w:numPr>
      </w:pPr>
      <w:r>
        <w:t xml:space="preserve">Look up the</w:t>
      </w:r>
      <w:r>
        <w:t xml:space="preserve"> </w:t>
      </w:r>
      <w:r>
        <w:rPr>
          <w:b/>
          <w:bCs/>
        </w:rPr>
        <w:t xml:space="preserve">density</w:t>
      </w:r>
      <w:r>
        <w:t xml:space="preserve"> </w:t>
      </w:r>
      <w:r>
        <w:t xml:space="preserve">of water and use it in a one-step mass calculation.</w:t>
      </w:r>
    </w:p>
    <w:p>
      <w:pPr>
        <w:pStyle w:val="Compact"/>
        <w:numPr>
          <w:ilvl w:val="0"/>
          <w:numId w:val="1001"/>
        </w:numPr>
      </w:pPr>
      <w:r>
        <w:t xml:space="preserve">Connect every Unit-1 concept to the reference-table section that supports it, using the matter map as a synthesis tool.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reference table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STP (standard temperature and pressure)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density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Patterns (CCC):</w:t>
      </w:r>
      <w:r>
        <w:t xml:space="preserve"> </w:t>
      </w:r>
      <w:r>
        <w:t xml:space="preserve">The reference tables don’t just list numbers — they encode __________ of chemical data. Periodic trends, physical constants, solubility rules, and SI prefixes are each organized into a named __________ because the data within each section follows a recurring pattern. Recognizing those patterns makes the lookup __________ rather than a treasure hunt.</w:t>
      </w:r>
    </w:p>
    <w:p>
      <w:pPr>
        <w:pStyle w:val="BodyText"/>
      </w:pPr>
      <w:r>
        <w:rPr>
          <w:b/>
          <w:bCs/>
        </w:rPr>
        <w:t xml:space="preserve">Why the reference tables matter for the Regents:</w:t>
      </w:r>
      <w:r>
        <w:t xml:space="preserve"> </w:t>
      </w:r>
      <w:r>
        <w:t xml:space="preserve">On the Regents exam, you receive the reference tables at the start. The exam is designed __________ you use them — some questions omit a value (like the density of water or STP conditions) and expect you to __________ it up. Memorizing individual constants is less reliable than knowing __________ in the tables to find them.</w:t>
      </w:r>
    </w:p>
    <w:p>
      <w:pPr>
        <w:pStyle w:val="BodyText"/>
      </w:pPr>
      <w:r>
        <w:rPr>
          <w:b/>
          <w:bCs/>
        </w:rPr>
        <w:t xml:space="preserve">The Regents-Verb Decoder: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Regents verb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What you produce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Describe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Calculate / Determine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Explain the relationship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STP values (look up in the reference tables and fill in):</w:t>
      </w:r>
    </w:p>
    <w:p>
      <w:pPr>
        <w:pStyle w:val="BodyText"/>
      </w:pPr>
      <w:r>
        <w:t xml:space="preserve">Standard temperature: _______________ K (also = _______________ °C)</w:t>
      </w:r>
    </w:p>
    <w:p>
      <w:pPr>
        <w:pStyle w:val="BodyText"/>
      </w:pPr>
      <w:r>
        <w:t xml:space="preserve">Standard pressure: _______________ kPa</w:t>
      </w:r>
    </w:p>
    <w:p>
      <w:pPr>
        <w:pStyle w:val="BodyText"/>
      </w:pPr>
      <w:r>
        <w:t xml:space="preserve">Table / section where found: _______________________________________________</w:t>
      </w:r>
    </w:p>
    <w:p>
      <w:pPr>
        <w:pStyle w:val="BodyText"/>
      </w:pPr>
      <w:r>
        <w:rPr>
          <w:b/>
          <w:bCs/>
        </w:rPr>
        <w:t xml:space="preserve">Density of water (look up in the reference tables):</w:t>
      </w:r>
    </w:p>
    <w:p>
      <w:pPr>
        <w:pStyle w:val="BodyText"/>
      </w:pPr>
      <w:r>
        <w:t xml:space="preserve">Density of water at 4 °C: _______________ g/mL (also written as _______________ g/cm³)</w:t>
      </w:r>
    </w:p>
    <w:p>
      <w:pPr>
        <w:pStyle w:val="BodyText"/>
      </w:pPr>
      <w:r>
        <w:t xml:space="preserve">Table / section where found: _______________________________________________</w:t>
      </w:r>
    </w:p>
    <w:p>
      <w:pPr>
        <w:pStyle w:val="BodyText"/>
      </w:pPr>
      <w:r>
        <w:rPr>
          <w:b/>
          <w:bCs/>
        </w:rPr>
        <w:t xml:space="preserve">The lookup formula for density calculations:</w:t>
      </w:r>
    </w:p>
    <w:p>
      <w:pPr>
        <w:pStyle w:val="BodyText"/>
      </w:pPr>
      <w:r>
        <w:t xml:space="preserve">mass = density × volume → m = __________ × __________</w:t>
      </w:r>
    </w:p>
    <w:p>
      <w:pPr>
        <w:pStyle w:val="BodyText"/>
      </w:pPr>
      <w:r>
        <w:t xml:space="preserve">Units: g = (g/mL) × (mL) ← unit cancellation confirms the answer is in __________</w:t>
      </w:r>
    </w:p>
    <w:p>
      <w:pPr>
        <w:pStyle w:val="BodyText"/>
      </w:pPr>
      <w:r>
        <w:rPr>
          <w:b/>
          <w:bCs/>
        </w:rPr>
        <w:t xml:space="preserve">Hochman appositive definitions (fill in the blanks):</w:t>
      </w:r>
    </w:p>
    <w:p>
      <w:pPr>
        <w:pStyle w:val="BlockText"/>
      </w:pPr>
      <w:r>
        <w:t xml:space="preserve">A reference table — _________________________ — organizes recurring patterns of chemical information into _________________________ for rapid, accurate lookup.</w:t>
      </w:r>
    </w:p>
    <w:p>
      <w:pPr>
        <w:pStyle w:val="BlockText"/>
      </w:pPr>
      <w:r>
        <w:t xml:space="preserve">STP — _________________________ — is defined in the reference tables as _________________________ and _________________________.</w:t>
      </w:r>
    </w:p>
    <w:p>
      <w:r>
        <w:pict>
          <v:rect style="width:0;height:1.5pt" o:hralign="center" o:hrstd="t" o:hr="t"/>
        </w:pict>
      </w:r>
    </w:p>
    <w:bookmarkEnd w:id="11"/>
    <w:bookmarkStart w:id="12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student on the Regents exam needs the mass of 250 mL of water at 4 °C. The problem does not give the density — it expects the student to look it up.</w:t>
      </w:r>
    </w:p>
    <w:p>
      <w:pPr>
        <w:pStyle w:val="BodyText"/>
      </w:pPr>
      <w:r>
        <w:rPr>
          <w:b/>
          <w:bCs/>
        </w:rPr>
        <w:t xml:space="preserve">Step 1 — Look up the density of water:</w:t>
      </w:r>
    </w:p>
    <w:p>
      <w:pPr>
        <w:pStyle w:val="BodyText"/>
      </w:pPr>
      <w:r>
        <w:t xml:space="preserve">Density of water at 4 °C (from the reference tables): _______________ g/mL</w:t>
      </w:r>
    </w:p>
    <w:p>
      <w:pPr>
        <w:pStyle w:val="BodyText"/>
      </w:pPr>
      <w:r>
        <w:t xml:space="preserve">Table used: _______________________________________________</w:t>
      </w:r>
    </w:p>
    <w:p>
      <w:pPr>
        <w:pStyle w:val="BodyText"/>
      </w:pPr>
      <w:r>
        <w:rPr>
          <w:b/>
          <w:bCs/>
        </w:rPr>
        <w:t xml:space="preserve">Step 2 — Set up the calculation:</w:t>
      </w:r>
    </w:p>
    <w:p>
      <w:pPr>
        <w:pStyle w:val="BodyText"/>
      </w:pPr>
      <w:r>
        <w:t xml:space="preserve">mass = density × volume</w:t>
      </w:r>
    </w:p>
    <w:p>
      <w:pPr>
        <w:pStyle w:val="BodyText"/>
      </w:pPr>
      <w:r>
        <w:t xml:space="preserve">mass = _______________ g/mL × _______________ mL</w:t>
      </w:r>
    </w:p>
    <w:p>
      <w:pPr>
        <w:pStyle w:val="BodyText"/>
      </w:pPr>
      <w:r>
        <w:rPr>
          <w:b/>
          <w:bCs/>
        </w:rPr>
        <w:t xml:space="preserve">Step 3 — Cancel units and solve:</w:t>
      </w:r>
    </w:p>
    <w:p>
      <w:pPr>
        <w:pStyle w:val="BodyText"/>
      </w:pPr>
      <w:r>
        <w:t xml:space="preserve">mass = _______________ g</w:t>
      </w:r>
    </w:p>
    <w:p>
      <w:pPr>
        <w:pStyle w:val="BodyText"/>
      </w:pPr>
      <w:r>
        <w:t xml:space="preserve">Unit cancellation: (g/mL) × (mL) = g ✓</w:t>
      </w:r>
    </w:p>
    <w:p>
      <w:pPr>
        <w:pStyle w:val="BodyText"/>
      </w:pPr>
      <w:r>
        <w:rPr>
          <w:b/>
          <w:bCs/>
        </w:rPr>
        <w:t xml:space="preserve">Step 4 — Check for reasonableness:</w:t>
      </w:r>
    </w:p>
    <w:p>
      <w:pPr>
        <w:pStyle w:val="BodyText"/>
      </w:pPr>
      <w:r>
        <w:t xml:space="preserve">250 mL of water has a mass of 250 g. Does that seem right? (1 mL of water weighs about 1 g, so 250 mL should weigh about 250 g.) ___</w:t>
      </w:r>
    </w:p>
    <w:p>
      <w:pPr>
        <w:pStyle w:val="BodyText"/>
      </w:pPr>
      <w:r>
        <w:rPr>
          <w:b/>
          <w:bCs/>
        </w:rPr>
        <w:t xml:space="preserve">Step 5 — Appositive sentence about this problem:</w:t>
      </w:r>
    </w:p>
    <w:p>
      <w:pPr>
        <w:pStyle w:val="BodyText"/>
      </w:pPr>
      <w:r>
        <w:t xml:space="preserve">The density of water — _______________ — was found in the _________________________ table of the reference tables and used to calculate a mass of _____________ g for _______________ mL of water.</w:t>
      </w:r>
    </w:p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A student who memorizes the density of water as</w:t>
      </w:r>
      <w:r>
        <w:t xml:space="preserve"> </w:t>
      </w:r>
      <w:r>
        <w:t xml:space="preserve">“about 1”</w:t>
      </w:r>
      <w:r>
        <w:t xml:space="preserve"> </w:t>
      </w:r>
      <w:r>
        <w:t xml:space="preserve">instead of looking it up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describe why approximate memory might work;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the risk of approximation;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connect to exam accuracy.</w:t>
      </w:r>
    </w:p>
    <w:p>
      <w:r>
        <w:pict>
          <v:rect style="width:0;height:1.5pt" o:hralign="center" o:hrstd="t" o:hr="t"/>
        </w:pict>
      </w:r>
    </w:p>
    <w:bookmarkEnd w:id="12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Unit-1 reference-table connections:</w:t>
      </w:r>
    </w:p>
    <w:p>
      <w:pPr>
        <w:pStyle w:val="CaptionedFigure"/>
      </w:pPr>
      <w:r>
        <w:drawing>
          <wp:inline>
            <wp:extent cx="5285232" cy="3419855"/>
            <wp:effectExtent b="0" l="0" r="0" t="0"/>
            <wp:docPr descr="Flowchart titled ‘Unit 1 Concept Map — Classification of Matter’ showing that Matter branches into Pure Substances (which include Elements and Compounds) and Mixtures (which include Homogeneous mixtures and Heterogeneous mixtures); labels note that pure substances have fixed composition and properties while mixtures have variable composition." title="" id="14" name="Picture"/>
            <a:graphic>
              <a:graphicData uri="http://schemas.openxmlformats.org/drawingml/2006/picture">
                <pic:pic>
                  <pic:nvPicPr>
                    <pic:cNvPr descr="figures/matter_map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232" cy="341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titled</w:t>
      </w:r>
      <w:r>
        <w:t xml:space="preserve"> </w:t>
      </w:r>
      <w:r>
        <w:t xml:space="preserve">‘Unit 1 Concept Map — Classification of Matter’</w:t>
      </w:r>
      <w:r>
        <w:t xml:space="preserve"> </w:t>
      </w:r>
      <w:r>
        <w:t xml:space="preserve">showing that Matter branches into Pure Substances (which include Elements and Compounds) and Mixtures (which include Homogeneous mixtures and Heterogeneous mixtures); labels note that pure substances have fixed composition and properties while mixtures have variable composition.</w:t>
      </w:r>
    </w:p>
    <w:p>
      <w:pPr>
        <w:pStyle w:val="BodyText"/>
      </w:pPr>
      <w:r>
        <w:t xml:space="preserve">Use the concept map above to complete the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Unit-1 concept</w:t>
            </w:r>
          </w:p>
        </w:tc>
        <w:tc>
          <w:tcPr/>
          <w:p>
            <w:pPr>
              <w:pStyle w:val="Compact"/>
            </w:pPr>
            <w:r>
              <w:t xml:space="preserve">Reference-table section</w:t>
            </w:r>
          </w:p>
        </w:tc>
        <w:tc>
          <w:tcPr/>
          <w:p>
            <w:pPr>
              <w:pStyle w:val="Compact"/>
            </w:pPr>
            <w:r>
              <w:t xml:space="preserve">Key value or 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units and prefixes (L02)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Density (L05)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density of water = 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Gram formula mass (L06)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atomic masses from 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 composition (L07)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atomic masses from 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 conditions (L08)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 = _____ K; P = _____ kPa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Complete the Because / But / So sentence:</w:t>
      </w:r>
    </w:p>
    <w:p>
      <w:pPr>
        <w:pStyle w:val="BlockText"/>
      </w:pPr>
      <w:r>
        <w:t xml:space="preserve">The reference tables turn chemistry’s data into a navigable resource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The key lookup check (copy into your Reference Tables booklet as a reminder):</w:t>
      </w:r>
    </w:p>
    <w:p>
      <w:pPr>
        <w:pStyle w:val="BodyText"/>
      </w:pPr>
      <w:r>
        <w:t xml:space="preserve">Before every reference-table lookup, ask:</w:t>
      </w:r>
      <w:r>
        <w:t xml:space="preserve"> </w:t>
      </w:r>
      <w:r>
        <w:t xml:space="preserve">1. What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of data am I looking for? (constant? element property? unit conversion?)</w:t>
      </w:r>
      <w:r>
        <w:t xml:space="preserve"> </w:t>
      </w:r>
      <w:r>
        <w:t xml:space="preserve">2. Which section holds that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of data?</w:t>
      </w:r>
      <w:r>
        <w:t xml:space="preserve"> </w:t>
      </w:r>
      <w:r>
        <w:t xml:space="preserve">3. Did I write the value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units?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2026-06-01T18:14:38Z</dcterms:created>
  <dcterms:modified xsi:type="dcterms:W3CDTF">2026-06-01T18:14:38Z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