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64ab595de559a6bd2fec1a06fc767ae5a702b64"/>
    <w:p>
      <w:pPr>
        <w:pStyle w:val="Heading1"/>
      </w:pPr>
      <w:r>
        <w:t xml:space="preserve">The 2025 Chemistry Reference Tables — Teacher Guide</w:t>
      </w:r>
    </w:p>
    <w:bookmarkStart w:id="9" w:name="cover"/>
    <w:p>
      <w:pPr>
        <w:pStyle w:val="Heading2"/>
      </w:pPr>
      <w:r>
        <w:t xml:space="preserve">Cover</w:t>
      </w:r>
    </w:p>
    <w:p>
      <w:pPr>
        <w:pStyle w:val="FirstParagraph"/>
      </w:pPr>
      <w:r>
        <w:rPr>
          <w:b/>
          <w:bCs/>
        </w:rPr>
        <w:t xml:space="preserve">Unit: Safety and Measurement — Lesson 08: The 2025 Chemistry Reference Tables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SEP — Obtaining, Evaluating, and Communicating Information.</w:t>
      </w:r>
      <w:r>
        <w:t xml:space="preserve"> </w:t>
      </w:r>
      <w:r>
        <w:t xml:space="preserve">The 2025 NYSSLS-aligned Regents exam provides students with the Chemistry Reference Tables on every sitting. Proficiency in</w:t>
      </w:r>
      <w:r>
        <w:t xml:space="preserve"> </w:t>
      </w:r>
      <w:r>
        <w:rPr>
          <w:i/>
          <w:iCs/>
        </w:rPr>
        <w:t xml:space="preserve">using</w:t>
      </w:r>
      <w:r>
        <w:t xml:space="preserve"> </w:t>
      </w:r>
      <w:r>
        <w:t xml:space="preserve">those tables — knowing which table holds which category of data, locating a value quickly under exam conditions, and applying a looked-up value in a one-step calculation — is therefore a direct assessment target. The Science and Engineering Practice of obtaining and evaluating information applies here: the tables are a primary scientific document, and fluency with their structure is inseparable from the chemistry they contain.</w:t>
      </w:r>
    </w:p>
    <w:p>
      <w:pPr>
        <w:pStyle w:val="BodyText"/>
      </w:pPr>
      <w:r>
        <w:t xml:space="preserve">This lesson also deepens the Cross-Cutting Concept of</w:t>
      </w:r>
      <w:r>
        <w:t xml:space="preserve"> </w:t>
      </w:r>
      <w:r>
        <w:rPr>
          <w:b/>
          <w:bCs/>
        </w:rPr>
        <w:t xml:space="preserve">Patterns</w:t>
      </w:r>
      <w:r>
        <w:t xml:space="preserve">: the reference tables organize all of chemistry’s recurring data patterns — periodic trends, solubility rules, thermodynamic constants, SI prefixes, physical properties of water — into a navigable, hierarchical structure. Recognizing</w:t>
      </w:r>
      <w:r>
        <w:t xml:space="preserve"> </w:t>
      </w:r>
      <w:r>
        <w:rPr>
          <w:i/>
          <w:iCs/>
        </w:rPr>
        <w:t xml:space="preserve">why</w:t>
      </w:r>
      <w:r>
        <w:t xml:space="preserve"> </w:t>
      </w:r>
      <w:r>
        <w:t xml:space="preserve">each table exists (what pattern it encodes) is more durable than memorizing individual values.</w:t>
      </w:r>
    </w:p>
    <w:bookmarkEnd w:id="10"/>
    <w:bookmarkStart w:id="11" w:name="phenomenon"/>
    <w:p>
      <w:pPr>
        <w:pStyle w:val="Heading3"/>
      </w:pPr>
      <w:r>
        <w:t xml:space="preserve">Phenomenon</w:t>
      </w:r>
    </w:p>
    <w:p>
      <w:pPr>
        <w:pStyle w:val="FirstParagraph"/>
      </w:pPr>
      <w:r>
        <w:t xml:space="preserve">Two students of equal ability sit down on Regents day. Each is handed the exact same 2025 Chemistry Reference Tables booklet. One student finds a needed value in under fifteen seconds; the other never opens the booklet and tries to recall the value from memory, guesses wrong, and loses the point. The booklet is identical for both. The skill of navigating it is not.</w:t>
      </w:r>
    </w:p>
    <w:p>
      <w:pPr>
        <w:pStyle w:val="BodyText"/>
      </w:pPr>
      <w:r>
        <w:rPr>
          <w:b/>
          <w:bCs/>
        </w:rPr>
        <w:t xml:space="preserve">Driving question:</w:t>
      </w:r>
      <w:r>
        <w:t xml:space="preserve"> </w:t>
      </w:r>
      <w:r>
        <w:t xml:space="preserve">How does one shared document support every chemistry concept on the exam?</w:t>
      </w:r>
    </w:p>
    <w:bookmarkEnd w:id="11"/>
    <w:bookmarkStart w:id="12" w:name="javalab-labs"/>
    <w:p>
      <w:pPr>
        <w:pStyle w:val="Heading3"/>
      </w:pPr>
      <w:r>
        <w:t xml:space="preserve">Javalab / Labs</w:t>
      </w:r>
    </w:p>
    <w:p>
      <w:pPr>
        <w:pStyle w:val="Compact"/>
        <w:numPr>
          <w:ilvl w:val="0"/>
          <w:numId w:val="1001"/>
        </w:numPr>
      </w:pPr>
      <w:r>
        <w:rPr>
          <w:b/>
          <w:bCs/>
        </w:rPr>
        <w:t xml:space="preserve">“Find the Data”</w:t>
      </w:r>
      <w:r>
        <w:rPr>
          <w:b/>
          <w:bCs/>
        </w:rPr>
        <w:t xml:space="preserve"> </w:t>
      </w:r>
      <w:r>
        <w:rPr>
          <w:b/>
          <w:bCs/>
        </w:rPr>
        <w:t xml:space="preserve">scavenger-hunt stations (main activity):</w:t>
      </w:r>
      <w:r>
        <w:t xml:space="preserve"> </w:t>
      </w:r>
      <w:r>
        <w:t xml:space="preserve">Students work in pairs at four or five stations, each with a specific lookup task: (1) find the density of water; (2) find the atomic symbol and atomic mass of a specified element; (3) find the SI unit symbol and prefix for milli- and kilo-; (4) find the STP conditions (temperature and pressure); (5) locate the solubility guidelines. For each lookup, students record the</w:t>
      </w:r>
      <w:r>
        <w:t xml:space="preserve"> </w:t>
      </w:r>
      <w:r>
        <w:rPr>
          <w:i/>
          <w:iCs/>
        </w:rPr>
        <w:t xml:space="preserve">value</w:t>
      </w:r>
      <w:r>
        <w:t xml:space="preserve">, the</w:t>
      </w:r>
      <w:r>
        <w:t xml:space="preserve"> </w:t>
      </w:r>
      <w:r>
        <w:rPr>
          <w:i/>
          <w:iCs/>
        </w:rPr>
        <w:t xml:space="preserve">units</w:t>
      </w:r>
      <w:r>
        <w:t xml:space="preserve">, and the</w:t>
      </w:r>
      <w:r>
        <w:t xml:space="preserve"> </w:t>
      </w:r>
      <w:r>
        <w:rPr>
          <w:i/>
          <w:iCs/>
        </w:rPr>
        <w:t xml:space="preserve">name of the table</w:t>
      </w:r>
      <w:r>
        <w:t xml:space="preserve"> </w:t>
      </w:r>
      <w:r>
        <w:t xml:space="preserve">where they found it. One station includes a one-step calculation using a looked-up value (e.g., use the density of water to find the mass of 250 mL of water).</w:t>
      </w:r>
    </w:p>
    <w:p>
      <w:pPr>
        <w:pStyle w:val="Compact"/>
        <w:numPr>
          <w:ilvl w:val="0"/>
          <w:numId w:val="1001"/>
        </w:numPr>
      </w:pPr>
      <w:r>
        <w:rPr>
          <w:b/>
          <w:bCs/>
        </w:rPr>
        <w:t xml:space="preserve">Old vs. new edition comparison (if a previous edition is available):</w:t>
      </w:r>
      <w:r>
        <w:t xml:space="preserve"> </w:t>
      </w:r>
      <w:r>
        <w:t xml:space="preserve">Students receive one page from the 2011/2012 edition and compare it to the corresponding section of the 2025 edition. They list one thing that changed and write one sentence explaining why the change might matter for accuracy or usability.</w:t>
      </w:r>
    </w:p>
    <w:bookmarkEnd w:id="12"/>
    <w:bookmarkStart w:id="13" w:name="assessments"/>
    <w:p>
      <w:pPr>
        <w:pStyle w:val="Heading3"/>
      </w:pPr>
      <w:r>
        <w:t xml:space="preserve">Assessments</w:t>
      </w:r>
    </w:p>
    <w:p>
      <w:pPr>
        <w:pStyle w:val="Compact"/>
        <w:numPr>
          <w:ilvl w:val="0"/>
          <w:numId w:val="1002"/>
        </w:numPr>
      </w:pPr>
      <w:r>
        <w:rPr>
          <w:b/>
          <w:bCs/>
        </w:rPr>
        <w:t xml:space="preserve">Scavenger-hunt worksheet</w:t>
      </w:r>
      <w:r>
        <w:t xml:space="preserve"> </w:t>
      </w:r>
      <w:r>
        <w:t xml:space="preserve">(in-class during Phase 2): each student records the value, units, and table name for each lookup item; one item requires a one-step calculation using the looked-up value.</w:t>
      </w:r>
    </w:p>
    <w:p>
      <w:pPr>
        <w:pStyle w:val="Compact"/>
        <w:numPr>
          <w:ilvl w:val="0"/>
          <w:numId w:val="1002"/>
        </w:numPr>
      </w:pPr>
      <w:r>
        <w:rPr>
          <w:b/>
          <w:bCs/>
        </w:rPr>
        <w:t xml:space="preserve">Exit Ticket</w:t>
      </w:r>
      <w:r>
        <w:t xml:space="preserve"> </w:t>
      </w:r>
      <w:r>
        <w:t xml:space="preserve">(Phase 5): three items — which table gives the density of water; STP conditions; one sentence on why practicing with the tables before the exam is worth class time.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SEP — Obtaining, Evaluating, and Communicating Information (foundational test-readiness; fluency with the 2025 Chemistry Reference Tables as a navigable scientific document)</w:t>
            </w:r>
          </w:p>
        </w:tc>
      </w:tr>
      <w:tr>
        <w:tc>
          <w:tcPr/>
          <w:p>
            <w:pPr>
              <w:pStyle w:val="Compact"/>
            </w:pPr>
            <w:r>
              <w:rPr>
                <w:b/>
                <w:bCs/>
              </w:rPr>
              <w:t xml:space="preserve">CCC focus</w:t>
            </w:r>
          </w:p>
        </w:tc>
        <w:tc>
          <w:tcPr/>
          <w:p>
            <w:pPr>
              <w:pStyle w:val="Compact"/>
            </w:pPr>
            <w:r>
              <w:t xml:space="preserve">Patterns — the reference tables encode recurring chemical data patterns (periodic trends, physical constants, solubility, thermodynamic values) into a hierarchical structure; fluency means recognizing those patterns, not just locating individual numbers</w:t>
            </w:r>
          </w:p>
        </w:tc>
      </w:tr>
      <w:tr>
        <w:tc>
          <w:tcPr/>
          <w:p>
            <w:pPr>
              <w:pStyle w:val="Compact"/>
            </w:pPr>
            <w:r>
              <w:rPr>
                <w:b/>
                <w:bCs/>
              </w:rPr>
              <w:t xml:space="preserve">Strategy chips</w:t>
            </w:r>
          </w:p>
        </w:tc>
        <w:tc>
          <w:tcPr/>
          <w:p>
            <w:pPr>
              <w:pStyle w:val="Compact"/>
            </w:pPr>
            <w:r>
              <w:t xml:space="preserve">ACTIVE LEARNING — reference-tables scavenger hunt at stations; Regents-verb decoder literacy move in the Strategy Spotlight</w:t>
            </w:r>
          </w:p>
        </w:tc>
      </w:tr>
      <w:tr>
        <w:tc>
          <w:tcPr/>
          <w:p>
            <w:pPr>
              <w:pStyle w:val="Compact"/>
            </w:pPr>
            <w:r>
              <w:rPr>
                <w:b/>
                <w:bCs/>
              </w:rPr>
              <w:t xml:space="preserve">Materials</w:t>
            </w:r>
          </w:p>
        </w:tc>
        <w:tc>
          <w:tcPr/>
          <w:p>
            <w:pPr>
              <w:pStyle w:val="Compact"/>
            </w:pPr>
            <w:r>
              <w:t xml:space="preserve">Class set of the 2025 NYS Chemistry Reference Tables (one per student), a copy of a previous edition (if available), scavenger-hunt worksheet (Student Worksheet), calculators,</w:t>
            </w:r>
            <w:r>
              <w:t xml:space="preserve"> </w:t>
            </w:r>
            <w:r>
              <w:rPr>
                <w:rStyle w:val="VerbatimChar"/>
              </w:rPr>
              <w:t xml:space="preserve">figures/matter_map.png</w:t>
            </w:r>
            <w:r>
              <w:t xml:space="preserve"> </w:t>
            </w:r>
            <w:r>
              <w:t xml:space="preserve">projected for the Unit-1 synthesis in Phase 4</w:t>
            </w:r>
          </w:p>
        </w:tc>
      </w:tr>
      <w:tr>
        <w:tc>
          <w:tcPr/>
          <w:p>
            <w:pPr>
              <w:pStyle w:val="Compact"/>
            </w:pPr>
            <w:r>
              <w:rPr>
                <w:b/>
                <w:bCs/>
              </w:rPr>
              <w:t xml:space="preserve">Safety</w:t>
            </w:r>
          </w:p>
        </w:tc>
        <w:tc>
          <w:tcPr/>
          <w:p>
            <w:pPr>
              <w:pStyle w:val="Compact"/>
            </w:pPr>
            <w:r>
              <w:t xml:space="preserve">No chemicals. Paper materials only.</w:t>
            </w:r>
          </w:p>
        </w:tc>
      </w:tr>
      <w:tr>
        <w:tc>
          <w:tcPr/>
          <w:p>
            <w:pPr>
              <w:pStyle w:val="Compact"/>
            </w:pPr>
            <w:r>
              <w:rPr>
                <w:b/>
                <w:bCs/>
              </w:rPr>
              <w:t xml:space="preserve">Prior knowledge</w:t>
            </w:r>
          </w:p>
        </w:tc>
        <w:tc>
          <w:tcPr/>
          <w:p>
            <w:pPr>
              <w:pStyle w:val="Compact"/>
            </w:pPr>
            <w:r>
              <w:t xml:space="preserve">All of Unit 1 (Lessons 01–07): safety, SI units and measurement, significant figures, dimensional analysis, density, gram formula mass, percent composition. This lesson ties all prior concepts to their corresponding reference-table entries.</w:t>
            </w:r>
          </w:p>
        </w:tc>
      </w:tr>
    </w:tbl>
    <w:p>
      <w:pPr>
        <w:pStyle w:val="BodyText"/>
      </w:pPr>
      <w:r>
        <w:rPr>
          <w:b/>
          <w:bCs/>
        </w:rPr>
        <w:t xml:space="preserve">Lesson objectives — students can:</w:t>
      </w:r>
    </w:p>
    <w:p>
      <w:pPr>
        <w:pStyle w:val="Compact"/>
        <w:numPr>
          <w:ilvl w:val="0"/>
          <w:numId w:val="1003"/>
        </w:numPr>
      </w:pPr>
      <w:r>
        <w:t xml:space="preserve">Navigate the 2025 NYS Chemistry Reference Tables to locate a value, identify the table it came from, and record the correct units.</w:t>
      </w:r>
    </w:p>
    <w:p>
      <w:pPr>
        <w:pStyle w:val="Compact"/>
        <w:numPr>
          <w:ilvl w:val="0"/>
          <w:numId w:val="1003"/>
        </w:numPr>
      </w:pPr>
      <w:r>
        <w:t xml:space="preserve">State the STP conditions (273 K / 0 °C; 101.3 kPa) and identify where they appear in the reference tables.</w:t>
      </w:r>
    </w:p>
    <w:p>
      <w:pPr>
        <w:pStyle w:val="Compact"/>
        <w:numPr>
          <w:ilvl w:val="0"/>
          <w:numId w:val="1003"/>
        </w:numPr>
      </w:pPr>
      <w:r>
        <w:t xml:space="preserve">Look up the density of water and perform a one-step calculation using that looked-up value.</w:t>
      </w:r>
    </w:p>
    <w:p>
      <w:pPr>
        <w:pStyle w:val="Compact"/>
        <w:numPr>
          <w:ilvl w:val="0"/>
          <w:numId w:val="1003"/>
        </w:numPr>
      </w:pPr>
      <w:r>
        <w:t xml:space="preserve">Explain how the reference tables encode Patterns (CCC) — recurring chemical data organized for rapid retrieval — and connect each Unit-1 concept to at least one table that supports it.</w:t>
      </w:r>
    </w:p>
    <w:p>
      <w:pPr>
        <w:pStyle w:val="Compact"/>
        <w:numPr>
          <w:ilvl w:val="0"/>
          <w:numId w:val="1003"/>
        </w:numPr>
      </w:pPr>
      <w:r>
        <w:t xml:space="preserve">Apply the Regents-verb decoder to identify what a question is asking before searching for the relevant value.</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time you had access to a tool or resource that others didn’t use — or you didn’t use — and it made a real difference in the outcome. What was the resource, and what changed when someone actually used it?”</w:t>
      </w:r>
      <w:r>
        <w:t xml:space="preserve"> </w:t>
      </w:r>
      <w:r>
        <w:t xml:space="preserve">One round, one sentence each, no judgment. This grounds the lesson’s core idea — equal access to information, unequal skill in using it — in students’ own experience and in the broader CRSE theme of knowledge as a shared resource.</w:t>
      </w:r>
    </w:p>
    <w:p>
      <w:pPr>
        <w:pStyle w:val="BodyText"/>
      </w:pPr>
      <w:r>
        <w:t xml:space="preserve">Then post the</w:t>
      </w:r>
      <w:r>
        <w:t xml:space="preserve"> </w:t>
      </w:r>
      <w:r>
        <w:rPr>
          <w:b/>
          <w:bCs/>
        </w:rPr>
        <w:t xml:space="preserve">Do Now</w:t>
      </w:r>
      <w:r>
        <w:t xml:space="preserve">:</w:t>
      </w:r>
    </w:p>
    <w:p>
      <w:pPr>
        <w:pStyle w:val="BlockText"/>
      </w:pPr>
      <w:r>
        <w:rPr>
          <w:i/>
          <w:iCs/>
        </w:rPr>
        <w:t xml:space="preserve">“Two students sit down on Regents day. Both receive the exact same Chemistry Reference Tables booklet. One student finds what they need quickly; the other never opens it. In two sentences: (a) What would you need to know — before the exam — to use the booklet quickly? (b) Where might a student who never uses it try to get the information instead?”</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“You’d need to know which section has what.”</w:t>
      </w:r>
      <w:r>
        <w:t xml:space="preserve"> </w:t>
      </w:r>
      <w:r>
        <w:t xml:space="preserve">— exactly; that organizational knowledge is what we’re building today.</w:t>
      </w:r>
    </w:p>
    <w:p>
      <w:pPr>
        <w:pStyle w:val="Compact"/>
        <w:numPr>
          <w:ilvl w:val="0"/>
          <w:numId w:val="1004"/>
        </w:numPr>
      </w:pPr>
      <w:r>
        <w:t xml:space="preserve">“They’d try to remember it from class.”</w:t>
      </w:r>
      <w:r>
        <w:t xml:space="preserve"> </w:t>
      </w:r>
      <w:r>
        <w:t xml:space="preserve">— and that’s a real strategy; but the reference tables are designed to replace memorization of constants and data. Using them frees up working memory for the reasoning the exam is actually testing.</w:t>
      </w:r>
    </w:p>
    <w:p>
      <w:pPr>
        <w:pStyle w:val="Compact"/>
        <w:numPr>
          <w:ilvl w:val="0"/>
          <w:numId w:val="1004"/>
        </w:numPr>
      </w:pPr>
      <w:r>
        <w:t xml:space="preserve">“Maybe they’d guess.”</w:t>
      </w:r>
      <w:r>
        <w:t xml:space="preserve"> </w:t>
      </w:r>
      <w:r>
        <w:t xml:space="preserve">— possible; and we’ll see how often guessing beats looking it up.</w:t>
      </w:r>
    </w:p>
    <w:bookmarkEnd w:id="16"/>
    <w:bookmarkStart w:id="20" w:name="X2dc13e6d139aa299addb18e36ff60e9d3f874da"/>
    <w:p>
      <w:pPr>
        <w:pStyle w:val="Heading3"/>
      </w:pPr>
      <w:r>
        <w:t xml:space="preserve">3–8 min · Phenomenon hook — same booklet, very different outcomes</w:t>
      </w:r>
    </w:p>
    <w:p>
      <w:pPr>
        <w:pStyle w:val="FirstParagraph"/>
      </w:pPr>
      <w:r>
        <w:rPr>
          <w:b/>
          <w:bCs/>
        </w:rPr>
        <w:t xml:space="preserve">Teacher actions.</w:t>
      </w:r>
      <w:r>
        <w:t xml:space="preserve"> </w:t>
      </w:r>
      <w:r>
        <w:t xml:space="preserve">Hold up the 2025 NYS Chemistry Reference Tables booklet (or project the cover page).</w:t>
      </w:r>
    </w:p>
    <w:p>
      <w:pPr>
        <w:pStyle w:val="BlockText"/>
      </w:pPr>
      <w:r>
        <w:t xml:space="preserve">“On Regents day, every chemistry student in New York — every single one — is handed this same booklet. It’s not a secret. It’s not an advantage one school has over another. It’s the same document for everyone. And yet some students walk out of that exam with a significantly better score, not because they memorized more, but because they knew how to</w:t>
      </w:r>
      <w:r>
        <w:t xml:space="preserve"> </w:t>
      </w:r>
      <w:r>
        <w:rPr>
          <w:i/>
          <w:iCs/>
        </w:rPr>
        <w:t xml:space="preserve">use</w:t>
      </w:r>
      <w:r>
        <w:t xml:space="preserve"> </w:t>
      </w:r>
      <w:r>
        <w:t xml:space="preserve">this. Today we’re going to learn to use it.”</w:t>
      </w:r>
    </w:p>
    <w:p>
      <w:pPr>
        <w:pStyle w:val="FirstParagraph"/>
      </w:pPr>
      <w:r>
        <w:t xml:space="preserve">Project the</w:t>
      </w:r>
      <w:r>
        <w:t xml:space="preserve"> </w:t>
      </w:r>
      <w:r>
        <w:rPr>
          <w:rStyle w:val="VerbatimChar"/>
        </w:rPr>
        <w:t xml:space="preserve">figures/matter_map.png</w:t>
      </w:r>
      <w:r>
        <w:t xml:space="preserve"> </w:t>
      </w:r>
      <w:r>
        <w:t xml:space="preserve">concept map briefly, noting that it ties together everything from this unit:</w:t>
      </w:r>
    </w:p>
    <w:p>
      <w:pPr>
        <w:pStyle w:val="CaptionedFigure"/>
      </w:pPr>
      <w:r>
        <w:drawing>
          <wp:inline>
            <wp:extent cx="5285232" cy="3419855"/>
            <wp:effectExtent b="0" l="0" r="0" t="0"/>
            <wp:docPr descr="Flowchart titled ‘Unit 1 Concept Map — Classification of Matter’ showing that Matter branches into Pure Substances (which include Elements and Compounds) and Mixtures (which include Homogeneous mixtures and Heterogeneous mixtures); labels note that pure substances have fixed composition and properties while mixtures have variable composition." title="" id="18" name="Picture"/>
            <a:graphic>
              <a:graphicData uri="http://schemas.openxmlformats.org/drawingml/2006/picture">
                <pic:pic>
                  <pic:nvPicPr>
                    <pic:cNvPr descr="figures/matter_map.png" id="19" name="Picture"/>
                    <pic:cNvPicPr>
                      <a:picLocks noChangeArrowheads="1" noChangeAspect="1"/>
                    </pic:cNvPicPr>
                  </pic:nvPicPr>
                  <pic:blipFill>
                    <a:blip r:embed="rId17"/>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Flowchart titled</w:t>
      </w:r>
      <w:r>
        <w:t xml:space="preserve"> </w:t>
      </w:r>
      <w:r>
        <w:t xml:space="preserve">‘Unit 1 Concept Map — Classification of Matter’</w:t>
      </w:r>
      <w:r>
        <w:t xml:space="preserve"> </w:t>
      </w:r>
      <w:r>
        <w:t xml:space="preserve">showing that Matter branches into Pure Substances (which include Elements and Compounds) and Mixtures (which include Homogeneous mixtures and Heterogeneous mixtures); labels note that pure substances have fixed composition and properties while mixtures have variable composition.</w:t>
      </w:r>
    </w:p>
    <w:p>
      <w:pPr>
        <w:pStyle w:val="BlockText"/>
      </w:pPr>
      <w:r>
        <w:t xml:space="preserve">“That flowchart is a preview of where we’re going in a few minutes — we’ll use it to connect every Unit-1 concept to a table that supports it. For now, hold that idea.”</w:t>
      </w:r>
    </w:p>
    <w:p>
      <w:pPr>
        <w:pStyle w:val="FirstParagraph"/>
      </w:pPr>
      <w:r>
        <w:rPr>
          <w:b/>
          <w:bCs/>
        </w:rPr>
        <w:t xml:space="preserve">Sample teacher language:</w:t>
      </w:r>
    </w:p>
    <w:p>
      <w:pPr>
        <w:pStyle w:val="BlockText"/>
      </w:pPr>
      <w:r>
        <w:t xml:space="preserve">“The Chemistry Reference Tables are not a cheat sheet. They’re not something you memorize around. They are a tool that the exam expects you to use, built into every Regents sitting. Chemists in the real world don’t memorize every constant — they know where to find it. That lookup skill is exactly what we’re practicing today.”</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does one shared document support every chemistry concept on the exam?</w:t>
      </w:r>
    </w:p>
    <w:bookmarkEnd w:id="20"/>
    <w:bookmarkStart w:id="21" w:name="min-notice-wonder-turn-and-talk-1"/>
    <w:p>
      <w:pPr>
        <w:pStyle w:val="Heading3"/>
      </w:pPr>
      <w:r>
        <w:t xml:space="preserve">8–10 min · Notice &amp; Wonder + Turn-and-Talk #1</w:t>
      </w:r>
    </w:p>
    <w:p>
      <w:pPr>
        <w:pStyle w:val="FirstParagraph"/>
      </w:pPr>
      <w:r>
        <w:t xml:space="preserve">Distribute the 2025 Reference Tables (if not already distributed). Give students 90 seconds to flip through the booklet silently.</w:t>
      </w:r>
    </w:p>
    <w:p>
      <w:pPr>
        <w:pStyle w:val="BlockText"/>
      </w:pPr>
      <w:r>
        <w:t xml:space="preserve">“I notice… / I wonder… Take 90 seconds. Write down: one thing you notice about how the tables are organized, and one thing you’re wondering about.”</w:t>
      </w:r>
    </w:p>
    <w:p>
      <w:pPr>
        <w:pStyle w:val="FirstParagraph"/>
      </w:pPr>
      <w:r>
        <w:t xml:space="preserve">Collect 3–4 responses. Then:</w:t>
      </w:r>
    </w:p>
    <w:p>
      <w:pPr>
        <w:pStyle w:val="BlockText"/>
      </w:pPr>
      <w:r>
        <w:t xml:space="preserve">“Turn to your partner: without looking at the table of contents, where do you think you’d find the density of water? Where would you find the symbols and atomic masses of elements?”</w:t>
      </w:r>
    </w:p>
    <w:p>
      <w:pPr>
        <w:pStyle w:val="FirstParagraph"/>
      </w:pPr>
      <w:r>
        <w:t xml:space="preserve">Target: students begin to articulate that different types of data live in different, named sections — periodic properties go in the Periodic Table section; physical constants for water go in a properties table; SI prefixes go in a measurement-related table.</w:t>
      </w:r>
    </w:p>
    <w:p>
      <w:r>
        <w:pict>
          <v:rect style="width:0;height:1.5pt" o:hralign="center" o:hrstd="t" o:hr="t"/>
        </w:pict>
      </w:r>
    </w:p>
    <w:bookmarkEnd w:id="21"/>
    <w:bookmarkEnd w:id="22"/>
    <w:bookmarkStart w:id="27" w:name="phase-2-explore-10-30-min"/>
    <w:p>
      <w:pPr>
        <w:pStyle w:val="Heading2"/>
      </w:pPr>
      <w:r>
        <w:t xml:space="preserve">Phase 2 · Explore</w:t>
      </w:r>
      <w:r>
        <w:t xml:space="preserve"> </w:t>
      </w:r>
      <w:r>
        <w:rPr>
          <w:i/>
          <w:iCs/>
        </w:rPr>
        <w:t xml:space="preserve">(10 – 30 min)</w:t>
      </w:r>
    </w:p>
    <w:bookmarkStart w:id="23" w:name="Xa885f0e43329a23c9f642c60373b6a45820fd82"/>
    <w:p>
      <w:pPr>
        <w:pStyle w:val="Heading3"/>
      </w:pPr>
      <w:r>
        <w:t xml:space="preserve">10–15 min · ABCs Activity — find before you formalize</w:t>
      </w:r>
    </w:p>
    <w:p>
      <w:pPr>
        <w:pStyle w:val="FirstParagraph"/>
      </w:pPr>
      <w:r>
        <w:rPr>
          <w:b/>
          <w:bCs/>
        </w:rPr>
        <w:t xml:space="preserve">Before introducing any formal organization scheme</w:t>
      </w:r>
      <w:r>
        <w:t xml:space="preserve">, students do an open exploration: they try to find three specific pieces of data in the reference tables using only the booklet itself.</w:t>
      </w:r>
    </w:p>
    <w:p>
      <w:pPr>
        <w:pStyle w:val="BodyText"/>
      </w:pPr>
      <w:r>
        <w:t xml:space="preserve">Post on the board (or distribute the scavenger-hunt worksheet):</w:t>
      </w:r>
    </w:p>
    <w:p>
      <w:pPr>
        <w:pStyle w:val="BlockText"/>
      </w:pPr>
      <w:r>
        <w:rPr>
          <w:b/>
          <w:bCs/>
        </w:rPr>
        <w:t xml:space="preserve">Quick Find — before any instruction:</w:t>
      </w:r>
      <w:r>
        <w:t xml:space="preserve"> </w:t>
      </w:r>
      <w:r>
        <w:t xml:space="preserve">(a) The density of water at 4 °C — write the value and the units: ___________</w:t>
      </w:r>
      <w:r>
        <w:t xml:space="preserve"> </w:t>
      </w:r>
      <w:r>
        <w:t xml:space="preserve">(b) The atomic symbol for gold — write the symbol and the atomic mass: ___________</w:t>
      </w:r>
      <w:r>
        <w:t xml:space="preserve"> </w:t>
      </w:r>
      <w:r>
        <w:t xml:space="preserve">(c) The meaning of the prefix</w:t>
      </w:r>
      <w:r>
        <w:t xml:space="preserve"> </w:t>
      </w:r>
      <w:r>
        <w:rPr>
          <w:i/>
          <w:iCs/>
        </w:rPr>
        <w:t xml:space="preserve">kilo-</w:t>
      </w:r>
      <w:r>
        <w:t xml:space="preserve"> </w:t>
      </w:r>
      <w:r>
        <w:t xml:space="preserve">in SI notation — write the multiplier: ___________</w:t>
      </w:r>
    </w:p>
    <w:p>
      <w:pPr>
        <w:pStyle w:val="FirstParagraph"/>
      </w:pPr>
      <w:r>
        <w:t xml:space="preserve">Students work individually for 3 minutes, writing not just the value but</w:t>
      </w:r>
      <w:r>
        <w:t xml:space="preserve"> </w:t>
      </w:r>
      <w:r>
        <w:rPr>
          <w:i/>
          <w:iCs/>
        </w:rPr>
        <w:t xml:space="preserve">which table or section they found it in</w:t>
      </w:r>
      <w:r>
        <w:t xml:space="preserve">.</w:t>
      </w:r>
    </w:p>
    <w:p>
      <w:pPr>
        <w:pStyle w:val="BodyText"/>
      </w:pPr>
      <w:r>
        <w:rPr>
          <w:b/>
          <w:bCs/>
        </w:rPr>
        <w:t xml:space="preserve">Teacher facilitation language (circulate):</w:t>
      </w:r>
    </w:p>
    <w:p>
      <w:pPr>
        <w:pStyle w:val="BlockText"/>
      </w:pPr>
      <w:r>
        <w:t xml:space="preserve">“Don’t tell me what the value is yet — tell me</w:t>
      </w:r>
      <w:r>
        <w:t xml:space="preserve"> </w:t>
      </w:r>
      <w:r>
        <w:rPr>
          <w:i/>
          <w:iCs/>
        </w:rPr>
        <w:t xml:space="preserve">where you found it</w:t>
      </w:r>
      <w:r>
        <w:t xml:space="preserve">. Which part of the booklet? What’s that section called?”</w:t>
      </w:r>
    </w:p>
    <w:p>
      <w:pPr>
        <w:pStyle w:val="BlockText"/>
      </w:pPr>
      <w:r>
        <w:t xml:space="preserve">“If you found it but you’re not sure of the table name, look at the header on that page. What does it say?”</w:t>
      </w:r>
    </w:p>
    <w:p>
      <w:pPr>
        <w:pStyle w:val="FirstParagraph"/>
      </w:pPr>
      <w:r>
        <w:rPr>
          <w:b/>
          <w:bCs/>
        </w:rPr>
        <w:t xml:space="preserve">Anticipated student responses during ABCs:</w:t>
      </w:r>
    </w:p>
    <w:p>
      <w:pPr>
        <w:pStyle w:val="Compact"/>
        <w:numPr>
          <w:ilvl w:val="0"/>
          <w:numId w:val="1005"/>
        </w:numPr>
      </w:pPr>
      <w:r>
        <w:t xml:space="preserve">Students find the density of water quickly in the Properties of Water table:</w:t>
      </w:r>
      <w:r>
        <w:t xml:space="preserve"> </w:t>
      </w:r>
      <w:r>
        <w:t xml:space="preserve">“It was in the physical constants section / properties of water / Table X.”</w:t>
      </w:r>
      <w:r>
        <w:t xml:space="preserve"> </w:t>
      </w:r>
      <w:r>
        <w:t xml:space="preserve">— affirm; you’ll formalize the names in Phase 3.</w:t>
      </w:r>
    </w:p>
    <w:p>
      <w:pPr>
        <w:pStyle w:val="Compact"/>
        <w:numPr>
          <w:ilvl w:val="0"/>
          <w:numId w:val="1005"/>
        </w:numPr>
      </w:pPr>
      <w:r>
        <w:t xml:space="preserve">Students use the Periodic Table:</w:t>
      </w:r>
      <w:r>
        <w:t xml:space="preserve"> </w:t>
      </w:r>
      <w:r>
        <w:t xml:space="preserve">“I found gold — Au — right on the periodic table page.”</w:t>
      </w:r>
      <w:r>
        <w:t xml:space="preserve"> </w:t>
      </w:r>
      <w:r>
        <w:t xml:space="preserve">— correct; and what information does the periodic table give you for every element?</w:t>
      </w:r>
    </w:p>
    <w:p>
      <w:pPr>
        <w:pStyle w:val="Compact"/>
        <w:numPr>
          <w:ilvl w:val="0"/>
          <w:numId w:val="1005"/>
        </w:numPr>
      </w:pPr>
      <w:r>
        <w:t xml:space="preserve">Students struggle with SI prefixes:</w:t>
      </w:r>
      <w:r>
        <w:t xml:space="preserve"> </w:t>
      </w:r>
      <w:r>
        <w:t xml:space="preserve">“I don’t see kilo anywhere obvious.”</w:t>
      </w:r>
      <w:r>
        <w:t xml:space="preserve"> </w:t>
      </w:r>
      <w:r>
        <w:t xml:space="preserve">— guide them toward the measurement or units table; ask:</w:t>
      </w:r>
      <w:r>
        <w:t xml:space="preserve"> </w:t>
      </w:r>
      <w:r>
        <w:t xml:space="preserve">“Is there a table that lists SI prefixes? What would the header say?”</w:t>
      </w:r>
    </w:p>
    <w:bookmarkEnd w:id="23"/>
    <w:bookmarkStart w:id="24" w:name="Xe9d7863a323ee0ac101f94067c561241ae192ad"/>
    <w:p>
      <w:pPr>
        <w:pStyle w:val="Heading3"/>
      </w:pPr>
      <w:r>
        <w:t xml:space="preserve">15–25 min · Scavenger-Hunt Stations (Active Learning)</w:t>
      </w:r>
    </w:p>
    <w:p>
      <w:pPr>
        <w:pStyle w:val="FirstParagraph"/>
      </w:pPr>
      <w:r>
        <w:t xml:space="preserve">Students work in pairs. Each pair has the 2025 Reference Tables and the Student Worksheet. Five lookup stations are embedded in the worksheet (see Student Worksheet, Investigation section). For each station, students find and record:</w:t>
      </w:r>
    </w:p>
    <w:p>
      <w:pPr>
        <w:pStyle w:val="Compact"/>
        <w:numPr>
          <w:ilvl w:val="0"/>
          <w:numId w:val="1006"/>
        </w:numPr>
      </w:pPr>
      <w:r>
        <w:t xml:space="preserve">The value and its units</w:t>
      </w:r>
    </w:p>
    <w:p>
      <w:pPr>
        <w:pStyle w:val="Compact"/>
        <w:numPr>
          <w:ilvl w:val="0"/>
          <w:numId w:val="1006"/>
        </w:numPr>
      </w:pPr>
      <w:r>
        <w:t xml:space="preserve">The name of the table or section where they found it</w:t>
      </w:r>
    </w:p>
    <w:p>
      <w:pPr>
        <w:pStyle w:val="Compact"/>
        <w:numPr>
          <w:ilvl w:val="0"/>
          <w:numId w:val="1006"/>
        </w:numPr>
      </w:pPr>
      <w:r>
        <w:t xml:space="preserve">(Station 4 only) A one-step calculation using the looked-up value</w:t>
      </w:r>
    </w:p>
    <w:p>
      <w:pPr>
        <w:pStyle w:val="FirstParagraph"/>
      </w:pPr>
      <w:r>
        <w:rPr>
          <w:b/>
          <w:bCs/>
        </w:rPr>
        <w:t xml:space="preserve">Station summary (teacher reference):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Station</w:t>
            </w:r>
          </w:p>
        </w:tc>
        <w:tc>
          <w:tcPr/>
          <w:p>
            <w:pPr>
              <w:pStyle w:val="Compact"/>
            </w:pPr>
            <w:r>
              <w:t xml:space="preserve">Lookup task</w:t>
            </w:r>
          </w:p>
        </w:tc>
        <w:tc>
          <w:tcPr/>
          <w:p>
            <w:pPr>
              <w:pStyle w:val="Compact"/>
            </w:pPr>
            <w:r>
              <w:t xml:space="preserve">Table or section</w:t>
            </w:r>
          </w:p>
        </w:tc>
      </w:tr>
      <w:tr>
        <w:tc>
          <w:tcPr/>
          <w:p>
            <w:pPr>
              <w:pStyle w:val="Compact"/>
            </w:pPr>
            <w:r>
              <w:t xml:space="preserve">1</w:t>
            </w:r>
          </w:p>
        </w:tc>
        <w:tc>
          <w:tcPr/>
          <w:p>
            <w:pPr>
              <w:pStyle w:val="Compact"/>
            </w:pPr>
            <w:r>
              <w:t xml:space="preserve">Density of water at 4 °C</w:t>
            </w:r>
          </w:p>
        </w:tc>
        <w:tc>
          <w:tcPr/>
          <w:p>
            <w:pPr>
              <w:pStyle w:val="Compact"/>
            </w:pPr>
            <w:r>
              <w:t xml:space="preserve">Physical Constants for Water (or Properties of Water)</w:t>
            </w:r>
          </w:p>
        </w:tc>
      </w:tr>
      <w:tr>
        <w:tc>
          <w:tcPr/>
          <w:p>
            <w:pPr>
              <w:pStyle w:val="Compact"/>
            </w:pPr>
            <w:r>
              <w:t xml:space="preserve">2</w:t>
            </w:r>
          </w:p>
        </w:tc>
        <w:tc>
          <w:tcPr/>
          <w:p>
            <w:pPr>
              <w:pStyle w:val="Compact"/>
            </w:pPr>
            <w:r>
              <w:t xml:space="preserve">Atomic symbol and atomic mass of calcium</w:t>
            </w:r>
          </w:p>
        </w:tc>
        <w:tc>
          <w:tcPr/>
          <w:p>
            <w:pPr>
              <w:pStyle w:val="Compact"/>
            </w:pPr>
            <w:r>
              <w:t xml:space="preserve">Periodic Table</w:t>
            </w:r>
          </w:p>
        </w:tc>
      </w:tr>
      <w:tr>
        <w:tc>
          <w:tcPr/>
          <w:p>
            <w:pPr>
              <w:pStyle w:val="Compact"/>
            </w:pPr>
            <w:r>
              <w:t xml:space="preserve">3</w:t>
            </w:r>
          </w:p>
        </w:tc>
        <w:tc>
          <w:tcPr/>
          <w:p>
            <w:pPr>
              <w:pStyle w:val="Compact"/>
            </w:pPr>
            <w:r>
              <w:t xml:space="preserve">SI prefix and multiplier for</w:t>
            </w:r>
            <w:r>
              <w:t xml:space="preserve"> </w:t>
            </w:r>
            <w:r>
              <w:rPr>
                <w:i/>
                <w:iCs/>
              </w:rPr>
              <w:t xml:space="preserve">milli-</w:t>
            </w:r>
            <w:r>
              <w:t xml:space="preserve"> </w:t>
            </w:r>
            <w:r>
              <w:t xml:space="preserve">and</w:t>
            </w:r>
            <w:r>
              <w:t xml:space="preserve"> </w:t>
            </w:r>
            <w:r>
              <w:rPr>
                <w:i/>
                <w:iCs/>
              </w:rPr>
              <w:t xml:space="preserve">kilo-</w:t>
            </w:r>
          </w:p>
        </w:tc>
        <w:tc>
          <w:tcPr/>
          <w:p>
            <w:pPr>
              <w:pStyle w:val="Compact"/>
            </w:pPr>
            <w:r>
              <w:t xml:space="preserve">Selected Prefixes table</w:t>
            </w:r>
          </w:p>
        </w:tc>
      </w:tr>
      <w:tr>
        <w:tc>
          <w:tcPr/>
          <w:p>
            <w:pPr>
              <w:pStyle w:val="Compact"/>
            </w:pPr>
            <w:r>
              <w:t xml:space="preserve">4</w:t>
            </w:r>
          </w:p>
        </w:tc>
        <w:tc>
          <w:tcPr/>
          <w:p>
            <w:pPr>
              <w:pStyle w:val="Compact"/>
            </w:pPr>
            <w:r>
              <w:t xml:space="preserve">STP conditions: temperature and pressure</w:t>
            </w:r>
          </w:p>
        </w:tc>
        <w:tc>
          <w:tcPr/>
          <w:p>
            <w:pPr>
              <w:pStyle w:val="Compact"/>
            </w:pPr>
            <w:r>
              <w:t xml:space="preserve">Physical Constants table or Selected Units table</w:t>
            </w:r>
          </w:p>
        </w:tc>
      </w:tr>
      <w:tr>
        <w:tc>
          <w:tcPr/>
          <w:p>
            <w:pPr>
              <w:pStyle w:val="Compact"/>
            </w:pPr>
            <w:r>
              <w:t xml:space="preserve">5</w:t>
            </w:r>
          </w:p>
        </w:tc>
        <w:tc>
          <w:tcPr/>
          <w:p>
            <w:pPr>
              <w:pStyle w:val="Compact"/>
            </w:pPr>
            <w:r>
              <w:t xml:space="preserve">One-step calculation: mass of 350 mL of water at 4 °C using the looked-up density</w:t>
            </w:r>
          </w:p>
        </w:tc>
        <w:tc>
          <w:tcPr/>
          <w:p>
            <w:pPr>
              <w:pStyle w:val="Compact"/>
            </w:pPr>
            <w:r>
              <w:t xml:space="preserve">Uses Station 1 result: density = 1.00 g/mL; mass = density × volume = 1.00 × 350 = 350 g</w:t>
            </w:r>
          </w:p>
        </w:tc>
      </w:tr>
    </w:tbl>
    <w:p>
      <w:pPr>
        <w:pStyle w:val="BodyText"/>
      </w:pPr>
      <w:r>
        <w:rPr>
          <w:b/>
          <w:bCs/>
        </w:rPr>
        <w:t xml:space="preserve">Teacher facilitation prompts (move between pairs, do not give answers):</w:t>
      </w:r>
    </w:p>
    <w:p>
      <w:pPr>
        <w:pStyle w:val="BlockText"/>
      </w:pPr>
      <w:r>
        <w:t xml:space="preserve">“You wrote the value — now write the table name. The table name is as important as the number.”</w:t>
      </w:r>
    </w:p>
    <w:p>
      <w:pPr>
        <w:pStyle w:val="BlockText"/>
      </w:pPr>
      <w:r>
        <w:t xml:space="preserve">“For Station 4: before you calculate, show the density value you looked up and label where it came from. Set up the equation first.”</w:t>
      </w:r>
    </w:p>
    <w:p>
      <w:pPr>
        <w:pStyle w:val="BlockText"/>
      </w:pPr>
      <w:r>
        <w:t xml:space="preserve">“If you finish early: flip to a section you haven’t used yet. What kind of data does it contain? Where in a chemistry course would you need it?”</w:t>
      </w:r>
    </w:p>
    <w:p>
      <w:pPr>
        <w:pStyle w:val="FirstParagraph"/>
      </w:pPr>
      <w:r>
        <w:rPr>
          <w:b/>
          <w:bCs/>
        </w:rPr>
        <w:t xml:space="preserve">Anticipated student responses at stations:</w:t>
      </w:r>
    </w:p>
    <w:p>
      <w:pPr>
        <w:pStyle w:val="Compact"/>
        <w:numPr>
          <w:ilvl w:val="0"/>
          <w:numId w:val="1007"/>
        </w:numPr>
      </w:pPr>
      <w:r>
        <w:t xml:space="preserve">“I keep finding the same data in two different tables.”</w:t>
      </w:r>
      <w:r>
        <w:t xml:space="preserve"> </w:t>
      </w:r>
      <w:r>
        <w:t xml:space="preserve">— interesting observation; some values appear in more than one section for accessibility. Note which sections they are. This becomes a discussion point in Phase 3.</w:t>
      </w:r>
    </w:p>
    <w:p>
      <w:pPr>
        <w:pStyle w:val="Compact"/>
        <w:numPr>
          <w:ilvl w:val="0"/>
          <w:numId w:val="1007"/>
        </w:numPr>
      </w:pPr>
      <w:r>
        <w:t xml:space="preserve">“I got 350 for the mass — is that right?”</w:t>
      </w:r>
      <w:r>
        <w:t xml:space="preserve"> </w:t>
      </w:r>
      <w:r>
        <w:t xml:space="preserve">— check the setup: density × volume = 1.00 g/mL × 350 mL = 350 g. Yes. The unit cancellation confirms it: g/mL × mL = g.</w:t>
      </w:r>
    </w:p>
    <w:p>
      <w:pPr>
        <w:pStyle w:val="Compact"/>
        <w:numPr>
          <w:ilvl w:val="0"/>
          <w:numId w:val="1007"/>
        </w:numPr>
      </w:pPr>
      <w:r>
        <w:t xml:space="preserve">“I can’t find the STP pressure.”</w:t>
      </w:r>
      <w:r>
        <w:t xml:space="preserve"> </w:t>
      </w:r>
      <w:r>
        <w:t xml:space="preserve">— guide: look for a table labeled</w:t>
      </w:r>
      <w:r>
        <w:t xml:space="preserve"> </w:t>
      </w:r>
      <w:r>
        <w:rPr>
          <w:i/>
          <w:iCs/>
        </w:rPr>
        <w:t xml:space="preserve">Selected Units</w:t>
      </w:r>
      <w:r>
        <w:t xml:space="preserve"> </w:t>
      </w:r>
      <w:r>
        <w:t xml:space="preserve">or</w:t>
      </w:r>
      <w:r>
        <w:t xml:space="preserve"> </w:t>
      </w:r>
      <w:r>
        <w:rPr>
          <w:i/>
          <w:iCs/>
        </w:rPr>
        <w:t xml:space="preserve">Physical Constants</w:t>
      </w:r>
      <w:r>
        <w:t xml:space="preserve">; it lists standard conditions. What are you looking for — the word</w:t>
      </w:r>
      <w:r>
        <w:t xml:space="preserve"> </w:t>
      </w:r>
      <w:r>
        <w:t xml:space="preserve">‘pressure’</w:t>
      </w:r>
      <w:r>
        <w:t xml:space="preserve"> </w:t>
      </w:r>
      <w:r>
        <w:t xml:space="preserve">or the unit</w:t>
      </w:r>
      <w:r>
        <w:t xml:space="preserve"> </w:t>
      </w:r>
      <w:r>
        <w:t xml:space="preserve">‘kPa’</w:t>
      </w:r>
      <w:r>
        <w:t xml:space="preserve">?</w:t>
      </w:r>
    </w:p>
    <w:bookmarkEnd w:id="24"/>
    <w:bookmarkStart w:id="25" w:name="min-old-vs.-new-comparison-if-available"/>
    <w:p>
      <w:pPr>
        <w:pStyle w:val="Heading3"/>
      </w:pPr>
      <w:r>
        <w:t xml:space="preserve">25–28 min · Old vs. New Comparison (if available)</w:t>
      </w:r>
    </w:p>
    <w:p>
      <w:pPr>
        <w:pStyle w:val="FirstParagraph"/>
      </w:pPr>
      <w:r>
        <w:t xml:space="preserve">Distribute one page (or a projected image) from a previous Reference Tables edition alongside the corresponding 2025 page.</w:t>
      </w:r>
    </w:p>
    <w:p>
      <w:pPr>
        <w:pStyle w:val="BlockText"/>
      </w:pPr>
      <w:r>
        <w:t xml:space="preserve">“In 30 seconds, write down one thing that is different between the two versions. Don’t worry about which is better — just spot one change.”</w:t>
      </w:r>
    </w:p>
    <w:p>
      <w:pPr>
        <w:pStyle w:val="FirstParagraph"/>
      </w:pPr>
      <w:r>
        <w:t xml:space="preserve">Collect responses:</w:t>
      </w:r>
      <w:r>
        <w:t xml:space="preserve"> </w:t>
      </w:r>
      <w:r>
        <w:t xml:space="preserve">- New table added / old table removed</w:t>
      </w:r>
      <w:r>
        <w:t xml:space="preserve"> </w:t>
      </w:r>
      <w:r>
        <w:t xml:space="preserve">- Updated value (e.g., atomic mass updated based on more precise measurements)</w:t>
      </w:r>
      <w:r>
        <w:t xml:space="preserve"> </w:t>
      </w:r>
      <w:r>
        <w:t xml:space="preserve">- Formatting change (new organization, new heading, different table name)</w:t>
      </w:r>
    </w:p>
    <w:p>
      <w:pPr>
        <w:pStyle w:val="BlockText"/>
      </w:pPr>
      <w:r>
        <w:t xml:space="preserve">“When scientists update a reference document, they update it because the data got better or because the organization improved for users. The 2025 tables reflect the most current, internationally agreed-upon values — including changes from the 2021 IUPAC revision of atomic masses. When you look up a value on the Regents, you’re using the same document that professional chemists reference.”</w:t>
      </w:r>
    </w:p>
    <w:bookmarkEnd w:id="25"/>
    <w:bookmarkStart w:id="26" w:name="min-reconnect-surface-the-structure"/>
    <w:p>
      <w:pPr>
        <w:pStyle w:val="Heading3"/>
      </w:pPr>
      <w:r>
        <w:t xml:space="preserve">28–30 min · Reconnect + surface the structure</w:t>
      </w:r>
    </w:p>
    <w:p>
      <w:pPr>
        <w:pStyle w:val="FirstParagraph"/>
      </w:pPr>
      <w:r>
        <w:t xml:space="preserve">Bring the class back together. Ask one pair to describe how the reference tables are organized at the highest level:</w:t>
      </w:r>
    </w:p>
    <w:p>
      <w:pPr>
        <w:pStyle w:val="BlockText"/>
      </w:pPr>
      <w:r>
        <w:t xml:space="preserve">“Based on your scavenger hunt, what big categories of information are in the tables? If you had to sort all the tables into three or four buckets, what would you call those buckets?”</w:t>
      </w:r>
    </w:p>
    <w:p>
      <w:pPr>
        <w:pStyle w:val="FirstParagraph"/>
      </w:pPr>
      <w:r>
        <w:t xml:space="preserve">Target: students describe something like: (1) properties and constants for specific substances (water, common compounds); (2) the periodic table (element data); (3) measurement and units (SI prefixes, conversions); (4) chemical behavior (solubility, activity series, etc.). The exact categories matter less than the recognition that the tables have a</w:t>
      </w:r>
      <w:r>
        <w:t xml:space="preserve"> </w:t>
      </w:r>
      <w:r>
        <w:rPr>
          <w:i/>
          <w:iCs/>
        </w:rPr>
        <w:t xml:space="preserve">structure</w:t>
      </w:r>
      <w:r>
        <w:t xml:space="preserve"> </w:t>
      </w:r>
      <w:r>
        <w:t xml:space="preserve">— a pattern — and that recognizing that structure is the lookup skill.</w:t>
      </w:r>
    </w:p>
    <w:p>
      <w:r>
        <w:pict>
          <v:rect style="width:0;height:1.5pt" o:hralign="center" o:hrstd="t" o:hr="t"/>
        </w:pict>
      </w:r>
    </w:p>
    <w:bookmarkEnd w:id="26"/>
    <w:bookmarkEnd w:id="27"/>
    <w:bookmarkStart w:id="30" w:name="phase-3-explain-30-36-min"/>
    <w:p>
      <w:pPr>
        <w:pStyle w:val="Heading2"/>
      </w:pPr>
      <w:r>
        <w:t xml:space="preserve">Phase 3 · Explain</w:t>
      </w:r>
      <w:r>
        <w:t xml:space="preserve"> </w:t>
      </w:r>
      <w:r>
        <w:rPr>
          <w:i/>
          <w:iCs/>
        </w:rPr>
        <w:t xml:space="preserve">(30 – 36 min)</w:t>
      </w:r>
    </w:p>
    <w:bookmarkStart w:id="28" w:name="min-turn-and-talk-2-class-consensus"/>
    <w:p>
      <w:pPr>
        <w:pStyle w:val="Heading3"/>
      </w:pPr>
      <w:r>
        <w:t xml:space="preserve">30–33 min · Turn-and-Talk #2 + class consensus</w:t>
      </w:r>
    </w:p>
    <w:p>
      <w:pPr>
        <w:pStyle w:val="BlockText"/>
      </w:pPr>
      <w:r>
        <w:t xml:space="preserve">“You just spent 15 minutes navigating the reference tables. Here’s a more challenging question — turn to your partner and talk it through: you know the reference tables have data organized by topic. But why does it matter which table the data comes from? Why isn’t one big list of numbers enough?”</w:t>
      </w:r>
    </w:p>
    <w:p>
      <w:pPr>
        <w:pStyle w:val="FirstParagraph"/>
      </w:pPr>
      <w:r>
        <w:t xml:space="preserve">Students discuss. Bring out:</w:t>
      </w:r>
      <w:r>
        <w:t xml:space="preserve"> </w:t>
      </w:r>
      <w:r>
        <w:t xml:space="preserve">- Knowing the table name means knowing the</w:t>
      </w:r>
      <w:r>
        <w:t xml:space="preserve"> </w:t>
      </w:r>
      <w:r>
        <w:rPr>
          <w:i/>
          <w:iCs/>
        </w:rPr>
        <w:t xml:space="preserve">context</w:t>
      </w:r>
      <w:r>
        <w:t xml:space="preserve"> </w:t>
      </w:r>
      <w:r>
        <w:t xml:space="preserve">of the data — a density value for water is different from a density value for salt.</w:t>
      </w:r>
      <w:r>
        <w:t xml:space="preserve"> </w:t>
      </w:r>
      <w:r>
        <w:t xml:space="preserve">- The table heading tells you the conditions under which the data was measured.</w:t>
      </w:r>
      <w:r>
        <w:t xml:space="preserve"> </w:t>
      </w:r>
      <w:r>
        <w:t xml:space="preserve">- Being able to say</w:t>
      </w:r>
      <w:r>
        <w:t xml:space="preserve"> </w:t>
      </w:r>
      <w:r>
        <w:t xml:space="preserve">“this comes from the Physical Constants table”</w:t>
      </w:r>
      <w:r>
        <w:t xml:space="preserve"> </w:t>
      </w:r>
      <w:r>
        <w:t xml:space="preserve">is a Regents skill — some questions specifically ask</w:t>
      </w:r>
      <w:r>
        <w:t xml:space="preserve"> </w:t>
      </w:r>
      <w:r>
        <w:rPr>
          <w:i/>
          <w:iCs/>
        </w:rPr>
        <w:t xml:space="preserve">which table</w:t>
      </w:r>
      <w:r>
        <w:t xml:space="preserve"> </w:t>
      </w:r>
      <w:r>
        <w:t xml:space="preserve">supplies the relevant information.</w:t>
      </w:r>
    </w:p>
    <w:p>
      <w:pPr>
        <w:pStyle w:val="BlockText"/>
      </w:pPr>
      <w:r>
        <w:t xml:space="preserve">“So using the reference tables well means two things: finding the value, and knowing the name of the place it lives. Both are part of the skill.”</w:t>
      </w:r>
    </w:p>
    <w:bookmarkEnd w:id="28"/>
    <w:bookmarkStart w:id="29"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working with. The booklet in your hands is called a</w:t>
      </w:r>
      <w:r>
        <w:t xml:space="preserve"> </w:t>
      </w:r>
      <w:r>
        <w:rPr>
          <w:b/>
          <w:bCs/>
        </w:rPr>
        <w:t xml:space="preserve">reference table</w:t>
      </w:r>
      <w:r>
        <w:t xml:space="preserve"> </w:t>
      </w:r>
      <w:r>
        <w:t xml:space="preserve">— a standardized document of chemical data provided on the Regents exam. Every student in New York gets the same one.</w:t>
      </w:r>
      <w:r>
        <w:t xml:space="preserve"> </w:t>
      </w:r>
      <w:r>
        <w:t xml:space="preserve">‘Standardized’</w:t>
      </w:r>
      <w:r>
        <w:t xml:space="preserve"> </w:t>
      </w:r>
      <w:r>
        <w:t xml:space="preserve">matters: the data is the same for everyone, every year, so differences in exam performance come from skill in using it — not from who has better data.”</w:t>
      </w:r>
    </w:p>
    <w:p>
      <w:pPr>
        <w:pStyle w:val="BlockText"/>
      </w:pPr>
      <w:r>
        <w:t xml:space="preserve">“Here is the Hochman appositive that locks in this definition — say it with me:</w:t>
      </w:r>
    </w:p>
    <w:p>
      <w:pPr>
        <w:pStyle w:val="BlockText"/>
      </w:pPr>
      <w:r>
        <w:rPr>
          <w:i/>
          <w:iCs/>
        </w:rPr>
        <w:t xml:space="preserve">A reference table — a standardized document of chemical data provided on the Regents exam — organizes recurring patterns of chemical information into named sections for rapid, accurate lookup.</w:t>
      </w:r>
    </w:p>
    <w:p>
      <w:pPr>
        <w:pStyle w:val="BlockText"/>
      </w:pPr>
      <w:r>
        <w:t xml:space="preserve">The phrase between the dashes defines the term; the main clause describes its function.”</w:t>
      </w:r>
    </w:p>
    <w:p>
      <w:pPr>
        <w:pStyle w:val="BlockText"/>
      </w:pPr>
      <w:r>
        <w:t xml:space="preserve">“One of the most important lookup tasks you’ll do is finding the conditions called</w:t>
      </w:r>
      <w:r>
        <w:t xml:space="preserve"> </w:t>
      </w:r>
      <w:r>
        <w:rPr>
          <w:b/>
          <w:bCs/>
        </w:rPr>
        <w:t xml:space="preserve">STP — standard temperature and pressure</w:t>
      </w:r>
      <w:r>
        <w:t xml:space="preserve">. The full form in the tables: 273 K (0 °C) for temperature, and 101.3 kPa for pressure. STP is the agreed reference point for comparing the behavior of gases: whenever a chemistry problem says</w:t>
      </w:r>
      <w:r>
        <w:t xml:space="preserve"> </w:t>
      </w:r>
      <w:r>
        <w:t xml:space="preserve">‘at STP’</w:t>
      </w:r>
      <w:r>
        <w:t xml:space="preserve"> </w:t>
      </w:r>
      <w:r>
        <w:t xml:space="preserve">without giving you the numbers, you look them up right here. The appositive:</w:t>
      </w:r>
    </w:p>
    <w:p>
      <w:pPr>
        <w:pStyle w:val="BlockText"/>
      </w:pPr>
      <w:r>
        <w:rPr>
          <w:i/>
          <w:iCs/>
        </w:rPr>
        <w:t xml:space="preserve">STP — standard temperature and pressure — is defined in the reference tables as 273 K (0 °C) and 101.3 kPa, the agreed conditions for comparing gas properties.</w:t>
      </w:r>
      <w:r>
        <w:t xml:space="preserve">”</w:t>
      </w:r>
    </w:p>
    <w:p>
      <w:pPr>
        <w:pStyle w:val="BlockText"/>
      </w:pPr>
      <w:r>
        <w:t xml:space="preserve">“The third term revisits something from Lesson 05:</w:t>
      </w:r>
      <w:r>
        <w:t xml:space="preserve"> </w:t>
      </w:r>
      <w:r>
        <w:rPr>
          <w:b/>
          <w:bCs/>
        </w:rPr>
        <w:t xml:space="preserve">density</w:t>
      </w:r>
      <w:r>
        <w:t xml:space="preserve"> </w:t>
      </w:r>
      <w:r>
        <w:t xml:space="preserve">— mass per unit volume. You measured and calculated it using objects in class. Today we looked it up in the reference tables for a pure substance: water at 4 °C has a density of 1.00 g/mL — an anchor value that appears in multiple Regents problems. Knowing it’s in the tables means you never have to memorize it; you just have to know where to find it.”</w:t>
      </w:r>
    </w:p>
    <w:p>
      <w:pPr>
        <w:pStyle w:val="FirstParagraph"/>
      </w:pPr>
      <w:r>
        <w:t xml:space="preserve">Post all three terms on the board. Students fill them in on their notes.</w:t>
      </w:r>
    </w:p>
    <w:p>
      <w:pPr>
        <w:pStyle w:val="BodyText"/>
      </w:pPr>
      <w:r>
        <w:rPr>
          <w:b/>
          <w:bCs/>
        </w:rPr>
        <w:t xml:space="preserve">Discussion prompts to deploy here:</w:t>
      </w:r>
    </w:p>
    <w:p>
      <w:pPr>
        <w:pStyle w:val="Compact"/>
        <w:numPr>
          <w:ilvl w:val="0"/>
          <w:numId w:val="1008"/>
        </w:numPr>
      </w:pPr>
      <w:r>
        <w:t xml:space="preserve">“If you see a problem that says</w:t>
      </w:r>
      <w:r>
        <w:t xml:space="preserve"> </w:t>
      </w:r>
      <w:r>
        <w:t xml:space="preserve">‘at STP,’</w:t>
      </w:r>
      <w:r>
        <w:t xml:space="preserve"> </w:t>
      </w:r>
      <w:r>
        <w:t xml:space="preserve">what two values do you look up?”</w:t>
      </w:r>
      <w:r>
        <w:t xml:space="preserve"> </w:t>
      </w:r>
      <w:r>
        <w:t xml:space="preserve">—</w:t>
      </w:r>
      <w:r>
        <w:t xml:space="preserve"> </w:t>
      </w:r>
      <w:r>
        <w:rPr>
          <w:i/>
          <w:iCs/>
        </w:rPr>
        <w:t xml:space="preserve">Expected:</w:t>
      </w:r>
      <w:r>
        <w:t xml:space="preserve"> </w:t>
      </w:r>
      <w:r>
        <w:t xml:space="preserve">273 K (or 0 °C) for temperature; 101.3 kPa for pressure.</w:t>
      </w:r>
    </w:p>
    <w:p>
      <w:pPr>
        <w:pStyle w:val="Compact"/>
        <w:numPr>
          <w:ilvl w:val="0"/>
          <w:numId w:val="1008"/>
        </w:numPr>
      </w:pPr>
      <w:r>
        <w:t xml:space="preserve">“A student looks up the density of water and writes 1.0 g/cm³. Another writes 1.00 g/mL. Are both acceptable?”</w:t>
      </w:r>
      <w:r>
        <w:t xml:space="preserve"> </w:t>
      </w:r>
      <w:r>
        <w:t xml:space="preserve">—</w:t>
      </w:r>
      <w:r>
        <w:t xml:space="preserve"> </w:t>
      </w:r>
      <w:r>
        <w:rPr>
          <w:i/>
          <w:iCs/>
        </w:rPr>
        <w:t xml:space="preserve">Expected:</w:t>
      </w:r>
      <w:r>
        <w:t xml:space="preserve"> </w:t>
      </w:r>
      <w:r>
        <w:t xml:space="preserve">yes — g/cm³ and g/mL are equivalent units; the values are identical. The sig-fig convention depends on the problem’s precision requirement (Lesson 03 connection).</w:t>
      </w:r>
    </w:p>
    <w:p>
      <w:r>
        <w:pict>
          <v:rect style="width:0;height:1.5pt" o:hralign="center" o:hrstd="t" o:hr="t"/>
        </w:pict>
      </w:r>
    </w:p>
    <w:bookmarkEnd w:id="29"/>
    <w:bookmarkEnd w:id="30"/>
    <w:bookmarkStart w:id="35" w:name="phase-4-elaborate-36-40-min"/>
    <w:p>
      <w:pPr>
        <w:pStyle w:val="Heading2"/>
      </w:pPr>
      <w:r>
        <w:t xml:space="preserve">Phase 4 · Elaborate</w:t>
      </w:r>
      <w:r>
        <w:t xml:space="preserve"> </w:t>
      </w:r>
      <w:r>
        <w:rPr>
          <w:i/>
          <w:iCs/>
        </w:rPr>
        <w:t xml:space="preserve">(36 – 40 min)</w:t>
      </w:r>
    </w:p>
    <w:bookmarkStart w:id="33" w:name="X7f406f9692e7b11a2a8509e8f36ceff29b9d94b"/>
    <w:p>
      <w:pPr>
        <w:pStyle w:val="Heading3"/>
      </w:pPr>
      <w:r>
        <w:t xml:space="preserve">36–39 min · Unit-1 Synthesis — placing concepts on the matter map</w:t>
      </w:r>
    </w:p>
    <w:p>
      <w:pPr>
        <w:pStyle w:val="FirstParagraph"/>
      </w:pPr>
      <w:r>
        <w:t xml:space="preserve">Project the</w:t>
      </w:r>
      <w:r>
        <w:t xml:space="preserve"> </w:t>
      </w:r>
      <w:r>
        <w:rPr>
          <w:rStyle w:val="VerbatimChar"/>
        </w:rPr>
        <w:t xml:space="preserve">figures/matter_map.png</w:t>
      </w:r>
      <w:r>
        <w:t xml:space="preserve"> </w:t>
      </w:r>
      <w:r>
        <w:t xml:space="preserve">concept map again — now fully:</w:t>
      </w:r>
    </w:p>
    <w:p>
      <w:pPr>
        <w:pStyle w:val="CaptionedFigure"/>
      </w:pPr>
      <w:r>
        <w:drawing>
          <wp:inline>
            <wp:extent cx="5285232" cy="3419855"/>
            <wp:effectExtent b="0" l="0" r="0" t="0"/>
            <wp:docPr descr="Flowchart titled ‘Unit 1 Concept Map — Classification of Matter’ showing that Matter branches into Pure Substances (which include Elements and Compounds) and Mixtures (which include Homogeneous mixtures and Heterogeneous mixtures); labels note that pure substances have fixed composition and properties while mixtures have variable composition." title="" id="31" name="Picture"/>
            <a:graphic>
              <a:graphicData uri="http://schemas.openxmlformats.org/drawingml/2006/picture">
                <pic:pic>
                  <pic:nvPicPr>
                    <pic:cNvPr descr="figures/matter_map.png" id="32" name="Picture"/>
                    <pic:cNvPicPr>
                      <a:picLocks noChangeArrowheads="1" noChangeAspect="1"/>
                    </pic:cNvPicPr>
                  </pic:nvPicPr>
                  <pic:blipFill>
                    <a:blip r:embed="rId17"/>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Flowchart titled</w:t>
      </w:r>
      <w:r>
        <w:t xml:space="preserve"> </w:t>
      </w:r>
      <w:r>
        <w:t xml:space="preserve">‘Unit 1 Concept Map — Classification of Matter’</w:t>
      </w:r>
      <w:r>
        <w:t xml:space="preserve"> </w:t>
      </w:r>
      <w:r>
        <w:t xml:space="preserve">showing that Matter branches into Pure Substances (which include Elements and Compounds) and Mixtures (which include Homogeneous mixtures and Heterogeneous mixtures); labels note that pure substances have fixed composition and properties while mixtures have variable composition.</w:t>
      </w:r>
    </w:p>
    <w:p>
      <w:pPr>
        <w:pStyle w:val="BlockText"/>
      </w:pPr>
      <w:r>
        <w:t xml:space="preserve">“Here’s the concept map for everything we’ve done this unit. Matter is at the top. Everything branches from there. I want you to take 2 minutes and, in your notes or on a scrap paper, answer: for each concept we learned in Unit 1, name the reference-table section that supports it. I’ll start.”</w:t>
      </w:r>
    </w:p>
    <w:p>
      <w:pPr>
        <w:pStyle w:val="FirstParagraph"/>
      </w:pPr>
      <w:r>
        <w:t xml:space="preserve">Model one:</w:t>
      </w:r>
    </w:p>
    <w:p>
      <w:pPr>
        <w:pStyle w:val="BlockText"/>
      </w:pPr>
      <w:r>
        <w:t xml:space="preserve">“Lesson 01: Safety — no dedicated table, but the safety rules are enforced by understanding the properties of substances — flammability, toxicity — which come from the properties tables. Lesson 05: Density — we look up the density of water directly from the Physical Constants table.”</w:t>
      </w:r>
    </w:p>
    <w:p>
      <w:pPr>
        <w:pStyle w:val="FirstParagraph"/>
      </w:pPr>
      <w:r>
        <w:t xml:space="preserve">Students complete: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Unit-1 concept</w:t>
            </w:r>
          </w:p>
        </w:tc>
        <w:tc>
          <w:tcPr/>
          <w:p>
            <w:pPr>
              <w:pStyle w:val="Compact"/>
            </w:pPr>
            <w:r>
              <w:t xml:space="preserve">Reference-table connection</w:t>
            </w:r>
          </w:p>
        </w:tc>
      </w:tr>
      <w:tr>
        <w:tc>
          <w:tcPr/>
          <w:p>
            <w:pPr>
              <w:pStyle w:val="Compact"/>
            </w:pPr>
            <w:r>
              <w:t xml:space="preserve">Measurement and SI units (L02)</w:t>
            </w:r>
          </w:p>
        </w:tc>
        <w:tc>
          <w:tcPr/>
          <w:p>
            <w:pPr>
              <w:pStyle w:val="Compact"/>
            </w:pPr>
            <w:r>
              <w:t xml:space="preserve">Selected Prefixes / Selected Units table</w:t>
            </w:r>
          </w:p>
        </w:tc>
      </w:tr>
      <w:tr>
        <w:tc>
          <w:tcPr/>
          <w:p>
            <w:pPr>
              <w:pStyle w:val="Compact"/>
            </w:pPr>
            <w:r>
              <w:t xml:space="preserve">Significant figures (L03)</w:t>
            </w:r>
          </w:p>
        </w:tc>
        <w:tc>
          <w:tcPr/>
          <w:p>
            <w:pPr>
              <w:pStyle w:val="Compact"/>
            </w:pPr>
            <w:r>
              <w:t xml:space="preserve">No specific table — but all looked-up values must be used with correct sig figs</w:t>
            </w:r>
          </w:p>
        </w:tc>
      </w:tr>
      <w:tr>
        <w:tc>
          <w:tcPr/>
          <w:p>
            <w:pPr>
              <w:pStyle w:val="Compact"/>
            </w:pPr>
            <w:r>
              <w:t xml:space="preserve">Dimensional analysis (L04)</w:t>
            </w:r>
          </w:p>
        </w:tc>
        <w:tc>
          <w:tcPr/>
          <w:p>
            <w:pPr>
              <w:pStyle w:val="Compact"/>
            </w:pPr>
            <w:r>
              <w:t xml:space="preserve">Selected Units / conversion factors table</w:t>
            </w:r>
          </w:p>
        </w:tc>
      </w:tr>
      <w:tr>
        <w:tc>
          <w:tcPr/>
          <w:p>
            <w:pPr>
              <w:pStyle w:val="Compact"/>
            </w:pPr>
            <w:r>
              <w:t xml:space="preserve">Density (L05)</w:t>
            </w:r>
          </w:p>
        </w:tc>
        <w:tc>
          <w:tcPr/>
          <w:p>
            <w:pPr>
              <w:pStyle w:val="Compact"/>
            </w:pPr>
            <w:r>
              <w:t xml:space="preserve">Physical Constants for Water (density of water = 1.00 g/mL)</w:t>
            </w:r>
          </w:p>
        </w:tc>
      </w:tr>
      <w:tr>
        <w:tc>
          <w:tcPr/>
          <w:p>
            <w:pPr>
              <w:pStyle w:val="Compact"/>
            </w:pPr>
            <w:r>
              <w:t xml:space="preserve">Gram formula mass (L06)</w:t>
            </w:r>
          </w:p>
        </w:tc>
        <w:tc>
          <w:tcPr/>
          <w:p>
            <w:pPr>
              <w:pStyle w:val="Compact"/>
            </w:pPr>
            <w:r>
              <w:t xml:space="preserve">Periodic Table (atomic masses for each element)</w:t>
            </w:r>
          </w:p>
        </w:tc>
      </w:tr>
      <w:tr>
        <w:tc>
          <w:tcPr/>
          <w:p>
            <w:pPr>
              <w:pStyle w:val="Compact"/>
            </w:pPr>
            <w:r>
              <w:t xml:space="preserve">Percent composition (L07)</w:t>
            </w:r>
          </w:p>
        </w:tc>
        <w:tc>
          <w:tcPr/>
          <w:p>
            <w:pPr>
              <w:pStyle w:val="Compact"/>
            </w:pPr>
            <w:r>
              <w:t xml:space="preserve">Periodic Table (atomic masses as the numerator inputs)</w:t>
            </w:r>
          </w:p>
        </w:tc>
      </w:tr>
      <w:tr>
        <w:tc>
          <w:tcPr/>
          <w:p>
            <w:pPr>
              <w:pStyle w:val="Compact"/>
            </w:pPr>
            <w:r>
              <w:t xml:space="preserve">Reference tables (L08)</w:t>
            </w:r>
          </w:p>
        </w:tc>
        <w:tc>
          <w:tcPr/>
          <w:p>
            <w:pPr>
              <w:pStyle w:val="Compact"/>
            </w:pPr>
            <w:r>
              <w:t xml:space="preserve">All sections — the lesson is the tables themselves</w:t>
            </w:r>
          </w:p>
        </w:tc>
      </w:tr>
    </w:tbl>
    <w:p>
      <w:pPr>
        <w:pStyle w:val="BlockText"/>
      </w:pPr>
      <w:r>
        <w:t xml:space="preserve">“So the matter map and the reference tables are connected: every node on the map has a corresponding table that gives you its numerical properties. That’s what</w:t>
      </w:r>
      <w:r>
        <w:t xml:space="preserve"> </w:t>
      </w:r>
      <w:r>
        <w:t xml:space="preserve">‘one shared document supports every chemistry concept’</w:t>
      </w:r>
      <w:r>
        <w:t xml:space="preserve"> </w:t>
      </w:r>
      <w:r>
        <w:t xml:space="preserve">means.”</w:t>
      </w:r>
    </w:p>
    <w:p>
      <w:pPr>
        <w:pStyle w:val="FirstParagraph"/>
      </w:pPr>
      <w:r>
        <w:rPr>
          <w:b/>
          <w:bCs/>
        </w:rPr>
        <w:t xml:space="preserve">Because / But / So — unit synthesis sentence:</w:t>
      </w:r>
    </w:p>
    <w:p>
      <w:pPr>
        <w:pStyle w:val="BodyText"/>
      </w:pPr>
      <w:r>
        <w:t xml:space="preserve">Model on the board:</w:t>
      </w:r>
    </w:p>
    <w:p>
      <w:pPr>
        <w:pStyle w:val="BlockText"/>
      </w:pPr>
      <w:r>
        <w:t xml:space="preserve">“Write a Because / But / So sentence about the reference tables and the unit. Starter:</w:t>
      </w:r>
      <w:r>
        <w:t xml:space="preserve"> </w:t>
      </w:r>
      <w:r>
        <w:t xml:space="preserve">‘Every chemistry concept in Unit 1 shows up in the reference tables…’</w:t>
      </w:r>
      <w:r>
        <w:t xml:space="preserve">”</w:t>
      </w:r>
    </w:p>
    <w:p>
      <w:pPr>
        <w:pStyle w:val="FirstParagraph"/>
      </w:pPr>
      <w:r>
        <w:t xml:space="preserve">Model one aloud:</w:t>
      </w:r>
    </w:p>
    <w:p>
      <w:pPr>
        <w:pStyle w:val="BlockText"/>
      </w:pPr>
      <w:r>
        <w:t xml:space="preserve">“Every chemistry concept in Unit 1 shows up in the reference tables</w:t>
      </w:r>
      <w:r>
        <w:t xml:space="preserve"> </w:t>
      </w:r>
      <w:r>
        <w:rPr>
          <w:b/>
          <w:bCs/>
        </w:rPr>
        <w:t xml:space="preserve">because</w:t>
      </w:r>
      <w:r>
        <w:t xml:space="preserve"> </w:t>
      </w:r>
      <w:r>
        <w:t xml:space="preserve">the tables collect all of chemistry’s agreed-upon data in one place —</w:t>
      </w:r>
      <w:r>
        <w:t xml:space="preserve"> </w:t>
      </w:r>
      <w:r>
        <w:rPr>
          <w:b/>
          <w:bCs/>
        </w:rPr>
        <w:t xml:space="preserve">but</w:t>
      </w:r>
      <w:r>
        <w:t xml:space="preserve"> </w:t>
      </w:r>
      <w:r>
        <w:t xml:space="preserve">knowing the data exists is not enough if you can’t find the right section under exam pressure —</w:t>
      </w:r>
      <w:r>
        <w:t xml:space="preserve"> </w:t>
      </w:r>
      <w:r>
        <w:rPr>
          <w:b/>
          <w:bCs/>
        </w:rPr>
        <w:t xml:space="preserve">so</w:t>
      </w:r>
      <w:r>
        <w:t xml:space="preserve"> </w:t>
      </w:r>
      <w:r>
        <w:t xml:space="preserve">practicing the scavenger hunt today is exactly the preparation the 2025 Regents rewards.”</w:t>
      </w:r>
    </w:p>
    <w:bookmarkEnd w:id="33"/>
    <w:bookmarkStart w:id="34" w:name="min-return-to-the-phenomenon"/>
    <w:p>
      <w:pPr>
        <w:pStyle w:val="Heading3"/>
      </w:pPr>
      <w:r>
        <w:t xml:space="preserve">39–40 min · Return to the phenomenon</w:t>
      </w:r>
    </w:p>
    <w:p>
      <w:pPr>
        <w:pStyle w:val="BlockText"/>
      </w:pPr>
      <w:r>
        <w:t xml:space="preserve">“Return to the two students at the start of class. Now you’ve done the scavenger hunt. If you were coaching the student who never opens the booklet, what would you tell them — in one sentence — that you know now that you didn’t know at 7:59 this morning?”</w:t>
      </w:r>
    </w:p>
    <w:p>
      <w:pPr>
        <w:pStyle w:val="FirstParagraph"/>
      </w:pPr>
      <w:r>
        <w:t xml:space="preserve">Collect two or three responses. Target: the tables have a structure; learning that structure is a skill you can practice; the 15 seconds of lookup time is faster and more reliable than recall from memory.</w:t>
      </w:r>
    </w:p>
    <w:p>
      <w:r>
        <w:pict>
          <v:rect style="width:0;height:1.5pt" o:hralign="center" o:hrstd="t" o:hr="t"/>
        </w:pict>
      </w:r>
    </w:p>
    <w:bookmarkEnd w:id="34"/>
    <w:bookmarkEnd w:id="35"/>
    <w:bookmarkStart w:id="37" w:name="phase-5-evaluate-40-42-min"/>
    <w:p>
      <w:pPr>
        <w:pStyle w:val="Heading2"/>
      </w:pPr>
      <w:r>
        <w:t xml:space="preserve">Phase 5 · Evaluate</w:t>
      </w:r>
      <w:r>
        <w:t xml:space="preserve"> </w:t>
      </w:r>
      <w:r>
        <w:rPr>
          <w:i/>
          <w:iCs/>
        </w:rPr>
        <w:t xml:space="preserve">(40 – 42 min)</w:t>
      </w:r>
    </w:p>
    <w:bookmarkStart w:id="36"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Which table in the 2025 Reference Tables gives you the density of water?</w:t>
      </w:r>
    </w:p>
    <w:p>
      <w:pPr>
        <w:pStyle w:val="BlockText"/>
      </w:pPr>
      <w:r>
        <w:rPr>
          <w:i/>
          <w:iCs/>
        </w:rPr>
        <w:t xml:space="preserve">(b) What are the STP conditions for temperature and pressure?</w:t>
      </w:r>
    </w:p>
    <w:p>
      <w:pPr>
        <w:pStyle w:val="BlockText"/>
      </w:pPr>
      <w:r>
        <w:rPr>
          <w:i/>
          <w:iCs/>
        </w:rPr>
        <w:t xml:space="preserve">(c) In one sentence, why is practicing with the reference tables before the exam worth class time?</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used a shared document — the same one every chemistry student in New York uses — and you practiced navigating it deliberately. In one sentence: what is one section of the reference tables you feel confident finding now that you couldn’t find confidently an hour ago, and who in the room helped you get there?”</w:t>
      </w:r>
    </w:p>
    <w:p>
      <w:pPr>
        <w:pStyle w:val="FirstParagraph"/>
      </w:pPr>
      <w:r>
        <w:t xml:space="preserve">Collect worksheets; note which students correctly name the table (not just the value) in the Exit Ticket. Also note students who confuse temperature and pressure units for STP (e.g., writing °F or atm instead of K and kPa). These are quick reteach targets at the start of the next unit.</w:t>
      </w:r>
    </w:p>
    <w:p>
      <w:r>
        <w:pict>
          <v:rect style="width:0;height:1.5pt" o:hralign="center" o:hrstd="t" o:hr="t"/>
        </w:pict>
      </w:r>
    </w:p>
    <w:bookmarkEnd w:id="36"/>
    <w:bookmarkEnd w:id="37"/>
    <w:bookmarkStart w:id="38" w:name="common-misconceptions"/>
    <w:p>
      <w:pPr>
        <w:pStyle w:val="Heading2"/>
      </w:pPr>
      <w:r>
        <w:t xml:space="preserve">Common Misconceptions</w:t>
      </w:r>
    </w:p>
    <w:p>
      <w:pPr>
        <w:pStyle w:val="Compact"/>
        <w:numPr>
          <w:ilvl w:val="0"/>
          <w:numId w:val="1009"/>
        </w:numPr>
      </w:pPr>
      <w:r>
        <w:rPr>
          <w:b/>
          <w:bCs/>
        </w:rPr>
        <w:t xml:space="preserve">Misconception:</w:t>
      </w:r>
      <w:r>
        <w:t xml:space="preserve"> </w:t>
      </w:r>
      <w:r>
        <w:t xml:space="preserve">“I don’t need to use the reference tables — I’ll just memorize the values.”</w:t>
      </w:r>
      <w:r>
        <w:t xml:space="preserve"> </w:t>
      </w:r>
      <w:r>
        <w:t xml:space="preserve">→</w:t>
      </w:r>
      <w:r>
        <w:t xml:space="preserve"> </w:t>
      </w:r>
      <w:r>
        <w:rPr>
          <w:b/>
          <w:bCs/>
        </w:rPr>
        <w:t xml:space="preserve">Correction:</w:t>
      </w:r>
      <w:r>
        <w:t xml:space="preserve"> </w:t>
      </w:r>
      <w:r>
        <w:t xml:space="preserve">The exam is designed</w:t>
      </w:r>
      <w:r>
        <w:t xml:space="preserve"> </w:t>
      </w:r>
      <w:r>
        <w:rPr>
          <w:i/>
          <w:iCs/>
        </w:rPr>
        <w:t xml:space="preserve">assuming</w:t>
      </w:r>
      <w:r>
        <w:t xml:space="preserve"> </w:t>
      </w:r>
      <w:r>
        <w:t xml:space="preserve">you will use the tables. Some question setups deliberately omit a value (e.g., the density of water) and expect you to look it up. Memorization of individual constants is less reliable than knowing where to find them, especially under time pressure. The reference tables also carry values you cannot reasonably memorize (complete periodic table data, solubility constants, activity series), so lookup fluency is not optional.</w:t>
      </w:r>
    </w:p>
    <w:p>
      <w:pPr>
        <w:pStyle w:val="Compact"/>
        <w:numPr>
          <w:ilvl w:val="0"/>
          <w:numId w:val="1009"/>
        </w:numPr>
      </w:pPr>
      <w:r>
        <w:rPr>
          <w:b/>
          <w:bCs/>
        </w:rPr>
        <w:t xml:space="preserve">Misconception:</w:t>
      </w:r>
      <w:r>
        <w:t xml:space="preserve"> </w:t>
      </w:r>
      <w:r>
        <w:t xml:space="preserve">“The reference tables are just for the exam — we don’t use them in class.”</w:t>
      </w:r>
      <w:r>
        <w:t xml:space="preserve"> </w:t>
      </w:r>
      <w:r>
        <w:t xml:space="preserve">→</w:t>
      </w:r>
      <w:r>
        <w:t xml:space="preserve"> </w:t>
      </w:r>
      <w:r>
        <w:rPr>
          <w:b/>
          <w:bCs/>
        </w:rPr>
        <w:t xml:space="preserve">Correction:</w:t>
      </w:r>
      <w:r>
        <w:t xml:space="preserve"> </w:t>
      </w:r>
      <w:r>
        <w:t xml:space="preserve">Real chemists consult reference documents constantly. In this course, you will use the reference tables starting in Unit 2 for periodic trends, in Unit 3 for bonding and polarity, in Unit 4 for thermochemistry (ΔH values), and in every lab where you look up a substance’s expected properties. Building fluency now saves time and error throughout the year.</w:t>
      </w:r>
    </w:p>
    <w:p>
      <w:pPr>
        <w:pStyle w:val="Compact"/>
        <w:numPr>
          <w:ilvl w:val="0"/>
          <w:numId w:val="1009"/>
        </w:numPr>
      </w:pPr>
      <w:r>
        <w:rPr>
          <w:b/>
          <w:bCs/>
        </w:rPr>
        <w:t xml:space="preserve">Misconception:</w:t>
      </w:r>
      <w:r>
        <w:t xml:space="preserve"> </w:t>
      </w:r>
      <w:r>
        <w:t xml:space="preserve">“STP means room temperature (around 25 °C).”</w:t>
      </w:r>
      <w:r>
        <w:t xml:space="preserve"> </w:t>
      </w:r>
      <w:r>
        <w:t xml:space="preserve">→</w:t>
      </w:r>
      <w:r>
        <w:t xml:space="preserve"> </w:t>
      </w:r>
      <w:r>
        <w:rPr>
          <w:b/>
          <w:bCs/>
        </w:rPr>
        <w:t xml:space="preserve">Correction:</w:t>
      </w:r>
      <w:r>
        <w:t xml:space="preserve"> </w:t>
      </w:r>
      <w:r>
        <w:t xml:space="preserve">STP is defined as 0 °C (273 K) and 101.3 kPa. Room temperature (~25 °C / 298 K) is a different reference condition — sometimes called</w:t>
      </w:r>
      <w:r>
        <w:t xml:space="preserve"> </w:t>
      </w:r>
      <w:r>
        <w:t xml:space="preserve">“standard ambient temperature and pressure”</w:t>
      </w:r>
      <w:r>
        <w:t xml:space="preserve"> </w:t>
      </w:r>
      <w:r>
        <w:t xml:space="preserve">(SATP) — and is not the same as STP. The reference tables define STP explicitly; always look it up rather than estimating.</w:t>
      </w:r>
    </w:p>
    <w:p>
      <w:pPr>
        <w:pStyle w:val="Compact"/>
        <w:numPr>
          <w:ilvl w:val="0"/>
          <w:numId w:val="1009"/>
        </w:numPr>
      </w:pPr>
      <w:r>
        <w:rPr>
          <w:b/>
          <w:bCs/>
        </w:rPr>
        <w:t xml:space="preserve">Misconception:</w:t>
      </w:r>
      <w:r>
        <w:t xml:space="preserve"> </w:t>
      </w:r>
      <w:r>
        <w:t xml:space="preserve">“The density of water is always 1 g/mL regardless of temperature.”</w:t>
      </w:r>
      <w:r>
        <w:t xml:space="preserve"> </w:t>
      </w:r>
      <w:r>
        <w:t xml:space="preserve">→</w:t>
      </w:r>
      <w:r>
        <w:t xml:space="preserve"> </w:t>
      </w:r>
      <w:r>
        <w:rPr>
          <w:b/>
          <w:bCs/>
        </w:rPr>
        <w:t xml:space="preserve">Correction:</w:t>
      </w:r>
      <w:r>
        <w:t xml:space="preserve"> </w:t>
      </w:r>
      <w:r>
        <w:t xml:space="preserve">The density of water is highest at 4 °C (1.00 g/mL or 1.00 g/cm³). It decreases above and below 4 °C. The reference tables give you the density of water at specific temperatures. For most Regents calculations, 1.00 g/mL is the appropriate value; always note the temperature condition if the problem specifies one.</w:t>
      </w:r>
    </w:p>
    <w:p>
      <w:pPr>
        <w:pStyle w:val="Compact"/>
        <w:numPr>
          <w:ilvl w:val="0"/>
          <w:numId w:val="1009"/>
        </w:numPr>
      </w:pPr>
      <w:r>
        <w:rPr>
          <w:b/>
          <w:bCs/>
        </w:rPr>
        <w:t xml:space="preserve">Misconception:</w:t>
      </w:r>
      <w:r>
        <w:t xml:space="preserve"> </w:t>
      </w:r>
      <w:r>
        <w:t xml:space="preserve">“If it’s in the reference tables, I don’t need to understand it — I just copy the number.”</w:t>
      </w:r>
      <w:r>
        <w:t xml:space="preserve"> </w:t>
      </w:r>
      <w:r>
        <w:t xml:space="preserve">→</w:t>
      </w:r>
      <w:r>
        <w:t xml:space="preserve"> </w:t>
      </w:r>
      <w:r>
        <w:rPr>
          <w:b/>
          <w:bCs/>
        </w:rPr>
        <w:t xml:space="preserve">Correction:</w:t>
      </w:r>
      <w:r>
        <w:t xml:space="preserve"> </w:t>
      </w:r>
      <w:r>
        <w:t xml:space="preserve">The Regents does not reward transcription of numbers; it rewards applying numbers correctly. You must know</w:t>
      </w:r>
      <w:r>
        <w:t xml:space="preserve"> </w:t>
      </w:r>
      <w:r>
        <w:rPr>
          <w:i/>
          <w:iCs/>
        </w:rPr>
        <w:t xml:space="preserve">which</w:t>
      </w:r>
      <w:r>
        <w:t xml:space="preserve"> </w:t>
      </w:r>
      <w:r>
        <w:t xml:space="preserve">value to look up (that requires understanding the concept),</w:t>
      </w:r>
      <w:r>
        <w:t xml:space="preserve"> </w:t>
      </w:r>
      <w:r>
        <w:rPr>
          <w:i/>
          <w:iCs/>
        </w:rPr>
        <w:t xml:space="preserve">how</w:t>
      </w:r>
      <w:r>
        <w:t xml:space="preserve"> </w:t>
      </w:r>
      <w:r>
        <w:t xml:space="preserve">to use it in a calculation (that requires understanding the relationship), and</w:t>
      </w:r>
      <w:r>
        <w:t xml:space="preserve"> </w:t>
      </w:r>
      <w:r>
        <w:rPr>
          <w:i/>
          <w:iCs/>
        </w:rPr>
        <w:t xml:space="preserve">whether</w:t>
      </w:r>
      <w:r>
        <w:t xml:space="preserve"> </w:t>
      </w:r>
      <w:r>
        <w:t xml:space="preserve">your answer is reasonable. The tables supply the data; your understanding supplies the reasoning.</w:t>
      </w:r>
    </w:p>
    <w:p>
      <w:r>
        <w:pict>
          <v:rect style="width:0;height:1.5pt" o:hralign="center" o:hrstd="t" o:hr="t"/>
        </w:pict>
      </w:r>
    </w:p>
    <w:bookmarkEnd w:id="38"/>
    <w:bookmarkStart w:id="39" w:name="access-differentiation"/>
    <w:p>
      <w:pPr>
        <w:pStyle w:val="Heading2"/>
      </w:pPr>
      <w:r>
        <w:t xml:space="preserve">Access &amp; Differentiation</w:t>
      </w:r>
    </w:p>
    <w:p>
      <w:pPr>
        <w:pStyle w:val="Compact"/>
        <w:numPr>
          <w:ilvl w:val="0"/>
          <w:numId w:val="1010"/>
        </w:numPr>
      </w:pPr>
      <w:r>
        <w:rPr>
          <w:b/>
          <w:bCs/>
        </w:rPr>
        <w:t xml:space="preserve">ELL/ENL supports:</w:t>
      </w:r>
      <w:r>
        <w:t xml:space="preserve"> </w:t>
      </w:r>
      <w:r>
        <w:t xml:space="preserve">A labeled index/map of the reference tables — a one-page diagram showing each section’s name and a short phrase describing its contents — provided as a supplementary handout. Sentence frame during the scavenger hunt: *“I found ___ in the ___ table; it tells me ___ in units of ___.”* Word-choice box displayed on the board throughout: {reference table, STP, density, value, units, section, table name}. Allow the sentence frame on the Exit Ticket.</w:t>
      </w:r>
    </w:p>
    <w:p>
      <w:pPr>
        <w:pStyle w:val="Compact"/>
        <w:numPr>
          <w:ilvl w:val="0"/>
          <w:numId w:val="1010"/>
        </w:numPr>
      </w:pPr>
      <w:r>
        <w:rPr>
          <w:b/>
          <w:bCs/>
        </w:rPr>
        <w:t xml:space="preserve">IEP/SPED supports:</w:t>
      </w:r>
      <w:r>
        <w:t xml:space="preserve"> </w:t>
      </w:r>
      <w:r>
        <w:t xml:space="preserve">Pre-tabbed reference booklet (color-coded sticky tabs on Periodic Table, Physical Constants, Selected Units, Selected Prefixes, and Solubility tables) so navigation is immediate. A checklist:</w:t>
      </w:r>
      <w:r>
        <w:t xml:space="preserve"> </w:t>
      </w:r>
      <w:r>
        <w:t xml:space="preserve">“Which table do I want? → (1) element data → Periodic Table; (2) properties of water → Physical Constants; (3) SI prefixes → Selected Prefixes; (4) STP → Physical Constants or Selected Units.”</w:t>
      </w:r>
      <w:r>
        <w:t xml:space="preserve"> </w:t>
      </w:r>
      <w:r>
        <w:t xml:space="preserve">Pair with a student who has completed at least two scavenger-hunt stations before asking them to work independently. Calculator available throughout.</w:t>
      </w:r>
    </w:p>
    <w:p>
      <w:pPr>
        <w:pStyle w:val="Compact"/>
        <w:numPr>
          <w:ilvl w:val="0"/>
          <w:numId w:val="1010"/>
        </w:numPr>
      </w:pPr>
      <w:r>
        <w:rPr>
          <w:b/>
          <w:bCs/>
        </w:rPr>
        <w:t xml:space="preserve">Extensions:</w:t>
      </w:r>
      <w:r>
        <w:t xml:space="preserve"> </w:t>
      </w:r>
      <w:r>
        <w:t xml:space="preserve">(1) Find every place a unit (e.g., kJ or mol) appears across three or more different tables in the 2025 Reference Tables; what does that unit tell you about how those topics are connected? (2) Compare two editions of the reference tables (2011 vs. 2025): choose one section that changed, describe what changed, and write a sentence explaining why the change might affect a Regents calculation. (3) Build a personal</w:t>
      </w:r>
      <w:r>
        <w:t xml:space="preserve"> </w:t>
      </w:r>
      <w:r>
        <w:t xml:space="preserve">“cheat map”</w:t>
      </w:r>
      <w:r>
        <w:t xml:space="preserve"> </w:t>
      </w:r>
      <w:r>
        <w:t xml:space="preserve">— a hand-drawn one-page diagram of the three tables you predict you will use most often in this course, with a note on what kind of problem each table solves.</w:t>
      </w:r>
    </w:p>
    <w:p>
      <w:r>
        <w:pict>
          <v:rect style="width:0;height:1.5pt" o:hralign="center" o:hrstd="t" o:hr="t"/>
        </w:pict>
      </w:r>
    </w:p>
    <w:bookmarkEnd w:id="39"/>
    <w:bookmarkStart w:id="40" w:name="strategy-spotlight"/>
    <w:p>
      <w:pPr>
        <w:pStyle w:val="Heading2"/>
      </w:pPr>
      <w:r>
        <w:t xml:space="preserve">Strategy Spotlight</w:t>
      </w:r>
    </w:p>
    <w:p>
      <w:pPr>
        <w:pStyle w:val="FirstParagraph"/>
      </w:pPr>
      <w:r>
        <w:rPr>
          <w:b/>
          <w:bCs/>
        </w:rPr>
        <w:t xml:space="preserve">ACTIVE LEARNING — Reference-Tables Scavenger Hunt.</w:t>
      </w:r>
      <w:r>
        <w:t xml:space="preserve"> </w:t>
      </w:r>
      <w:r>
        <w:t xml:space="preserve">The scavenger-hunt format converts passive booklet exposure into an active retrieval and navigation task. Each station requires students to do three things: (1) locate a value, (2) record the table it came from, and (3) (in one station) apply the value in a calculation. Research on retrieval practice (Roediger &amp; Butler, 2011) consistently shows that the act of searching for information — even before formal instruction — strengthens long-term retention more than reading or listening alone. The stations also create natural pair discussion: when one student locates a value and the other disputes the table name, they are both reasoning about the structure of the reference document, which is the target skill.</w:t>
      </w:r>
    </w:p>
    <w:p>
      <w:pPr>
        <w:pStyle w:val="BodyText"/>
      </w:pPr>
      <w:r>
        <w:rPr>
          <w:b/>
          <w:bCs/>
        </w:rPr>
        <w:t xml:space="preserve">How the scavenger hunt runs in this lesson (Phase 2, minutes 15–25):</w:t>
      </w:r>
    </w:p>
    <w:p>
      <w:pPr>
        <w:pStyle w:val="Compact"/>
        <w:numPr>
          <w:ilvl w:val="0"/>
          <w:numId w:val="1011"/>
        </w:numPr>
      </w:pPr>
      <w:r>
        <w:rPr>
          <w:b/>
          <w:bCs/>
        </w:rPr>
        <w:t xml:space="preserve">Pairs, not random groups:</w:t>
      </w:r>
      <w:r>
        <w:t xml:space="preserve"> </w:t>
      </w:r>
      <w:r>
        <w:t xml:space="preserve">Because navigating a new document is slightly more cognitively demanding than the BTC thin-slice tasks in earlier lessons, same-choice partners (not random assignment) allow students to calibrate support level. Partners who need more scaffolding can use the labeled-index support; partners ready for extension can tackle the old-vs.-new comparison.</w:t>
      </w:r>
    </w:p>
    <w:p>
      <w:pPr>
        <w:pStyle w:val="Compact"/>
        <w:numPr>
          <w:ilvl w:val="0"/>
          <w:numId w:val="1011"/>
        </w:numPr>
      </w:pPr>
      <w:r>
        <w:rPr>
          <w:b/>
          <w:bCs/>
        </w:rPr>
        <w:t xml:space="preserve">Worksheet as a running record:</w:t>
      </w:r>
      <w:r>
        <w:t xml:space="preserve"> </w:t>
      </w:r>
      <w:r>
        <w:t xml:space="preserve">Students write both the value</w:t>
      </w:r>
      <w:r>
        <w:t xml:space="preserve"> </w:t>
      </w:r>
      <w:r>
        <w:rPr>
          <w:i/>
          <w:iCs/>
        </w:rPr>
        <w:t xml:space="preserve">and</w:t>
      </w:r>
      <w:r>
        <w:t xml:space="preserve"> </w:t>
      </w:r>
      <w:r>
        <w:t xml:space="preserve">the table name for every station. The table name requirement forces them to articulate the organizational structure, not just copy a number.</w:t>
      </w:r>
    </w:p>
    <w:p>
      <w:pPr>
        <w:pStyle w:val="Compact"/>
        <w:numPr>
          <w:ilvl w:val="0"/>
          <w:numId w:val="1011"/>
        </w:numPr>
      </w:pPr>
      <w:r>
        <w:rPr>
          <w:b/>
          <w:bCs/>
        </w:rPr>
        <w:t xml:space="preserve">Station 5 (calculation) as the integration check:</w:t>
      </w:r>
      <w:r>
        <w:t xml:space="preserve"> </w:t>
      </w:r>
      <w:r>
        <w:t xml:space="preserve">Using a looked-up density value in a one-step mass calculation (mass = density × volume) integrates Lessons 03, 04, and 05. If a student gets the correct density from the tables but the wrong mass, the error is in the calculation, not the lookup — a targetable distinction.</w:t>
      </w:r>
    </w:p>
    <w:p>
      <w:pPr>
        <w:pStyle w:val="FirstParagraph"/>
      </w:pPr>
      <w:r>
        <w:rPr>
          <w:b/>
          <w:bCs/>
        </w:rPr>
        <w:t xml:space="preserve">Regents-Verb Decoder — literacy move for this lesson (and the whole unit).</w:t>
      </w:r>
      <w:r>
        <w:t xml:space="preserve"> </w:t>
      </w:r>
      <w:r>
        <w:t xml:space="preserve">The 2025 Regents exam uses specific command verbs whose meanings are precise and predictable. Fluency with the reference tables is necessary but not sufficient; students must also know what the question is asking them</w:t>
      </w:r>
      <w:r>
        <w:t xml:space="preserve"> </w:t>
      </w:r>
      <w:r>
        <w:rPr>
          <w:i/>
          <w:iCs/>
        </w:rPr>
        <w:t xml:space="preserve">to do</w:t>
      </w:r>
      <w:r>
        <w:t xml:space="preserve"> </w:t>
      </w:r>
      <w:r>
        <w:t xml:space="preserve">with the looked-up value. The Regents-verb decoder synthesizes the unit’s literacy thread: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Regents verb</w:t>
            </w:r>
          </w:p>
        </w:tc>
        <w:tc>
          <w:tcPr/>
          <w:p>
            <w:pPr>
              <w:pStyle w:val="Compact"/>
            </w:pPr>
            <w:r>
              <w:t xml:space="preserve">What it means</w:t>
            </w:r>
          </w:p>
        </w:tc>
        <w:tc>
          <w:tcPr/>
          <w:p>
            <w:pPr>
              <w:pStyle w:val="Compact"/>
            </w:pPr>
            <w:r>
              <w:t xml:space="preserve">What you do</w:t>
            </w:r>
          </w:p>
        </w:tc>
      </w:tr>
      <w:tr>
        <w:tc>
          <w:tcPr/>
          <w:p>
            <w:pPr>
              <w:pStyle w:val="Compact"/>
            </w:pPr>
            <w:r>
              <w:t xml:space="preserve">Identify</w:t>
            </w:r>
          </w:p>
        </w:tc>
        <w:tc>
          <w:tcPr/>
          <w:p>
            <w:pPr>
              <w:pStyle w:val="Compact"/>
            </w:pPr>
            <w:r>
              <w:t xml:space="preserve">Find and state the answer</w:t>
            </w:r>
          </w:p>
        </w:tc>
        <w:tc>
          <w:tcPr/>
          <w:p>
            <w:pPr>
              <w:pStyle w:val="Compact"/>
            </w:pPr>
            <w:r>
              <w:t xml:space="preserve">Locate the value; write it with units</w:t>
            </w:r>
          </w:p>
        </w:tc>
      </w:tr>
      <w:tr>
        <w:tc>
          <w:tcPr/>
          <w:p>
            <w:pPr>
              <w:pStyle w:val="Compact"/>
            </w:pPr>
            <w:r>
              <w:t xml:space="preserve">Describe</w:t>
            </w:r>
          </w:p>
        </w:tc>
        <w:tc>
          <w:tcPr/>
          <w:p>
            <w:pPr>
              <w:pStyle w:val="Compact"/>
            </w:pPr>
            <w:r>
              <w:t xml:space="preserve">Give multiple</w:t>
            </w:r>
            <w:r>
              <w:t xml:space="preserve"> </w:t>
            </w:r>
            <w:r>
              <w:t xml:space="preserve">“why”</w:t>
            </w:r>
            <w:r>
              <w:t xml:space="preserve"> </w:t>
            </w:r>
            <w:r>
              <w:t xml:space="preserve">or</w:t>
            </w:r>
            <w:r>
              <w:t xml:space="preserve"> </w:t>
            </w:r>
            <w:r>
              <w:t xml:space="preserve">“how”</w:t>
            </w:r>
            <w:r>
              <w:t xml:space="preserve"> </w:t>
            </w:r>
            <w:r>
              <w:t xml:space="preserve">words</w:t>
            </w:r>
          </w:p>
        </w:tc>
        <w:tc>
          <w:tcPr/>
          <w:p>
            <w:pPr>
              <w:pStyle w:val="Compact"/>
            </w:pPr>
            <w:r>
              <w:t xml:space="preserve">State the value</w:t>
            </w:r>
            <w:r>
              <w:t xml:space="preserve"> </w:t>
            </w:r>
            <w:r>
              <w:rPr>
                <w:i/>
                <w:iCs/>
              </w:rPr>
              <w:t xml:space="preserve">and</w:t>
            </w:r>
            <w:r>
              <w:t xml:space="preserve"> </w:t>
            </w:r>
            <w:r>
              <w:t xml:space="preserve">explain the pattern or cause</w:t>
            </w:r>
          </w:p>
        </w:tc>
      </w:tr>
      <w:tr>
        <w:tc>
          <w:tcPr/>
          <w:p>
            <w:pPr>
              <w:pStyle w:val="Compact"/>
            </w:pPr>
            <w:r>
              <w:t xml:space="preserve">Calculate / Determine (quantitative)</w:t>
            </w:r>
          </w:p>
        </w:tc>
        <w:tc>
          <w:tcPr/>
          <w:p>
            <w:pPr>
              <w:pStyle w:val="Compact"/>
            </w:pPr>
            <w:r>
              <w:t xml:space="preserve">Use numbers; show the setup</w:t>
            </w:r>
          </w:p>
        </w:tc>
        <w:tc>
          <w:tcPr/>
          <w:p>
            <w:pPr>
              <w:pStyle w:val="Compact"/>
            </w:pPr>
            <w:r>
              <w:t xml:space="preserve">Write the equation; substitute looked-up values; show units canceling</w:t>
            </w:r>
          </w:p>
        </w:tc>
      </w:tr>
      <w:tr>
        <w:tc>
          <w:tcPr/>
          <w:p>
            <w:pPr>
              <w:pStyle w:val="Compact"/>
            </w:pPr>
            <w:r>
              <w:t xml:space="preserve">Explain the relationship</w:t>
            </w:r>
          </w:p>
        </w:tc>
        <w:tc>
          <w:tcPr/>
          <w:p>
            <w:pPr>
              <w:pStyle w:val="Compact"/>
            </w:pPr>
            <w:r>
              <w:t xml:space="preserve">Look for cause and effect</w:t>
            </w:r>
          </w:p>
        </w:tc>
        <w:tc>
          <w:tcPr/>
          <w:p>
            <w:pPr>
              <w:pStyle w:val="Compact"/>
            </w:pPr>
            <w:r>
              <w:t xml:space="preserve">State how a change in one variable affects another; use</w:t>
            </w:r>
            <w:r>
              <w:t xml:space="preserve"> </w:t>
            </w:r>
            <w:r>
              <w:t xml:space="preserve">“because”</w:t>
            </w:r>
          </w:p>
        </w:tc>
      </w:tr>
      <w:tr>
        <w:tc>
          <w:tcPr/>
          <w:p>
            <w:pPr>
              <w:pStyle w:val="Compact"/>
            </w:pPr>
            <w:r>
              <w:t xml:space="preserve">Compare</w:t>
            </w:r>
          </w:p>
        </w:tc>
        <w:tc>
          <w:tcPr/>
          <w:p>
            <w:pPr>
              <w:pStyle w:val="Compact"/>
            </w:pPr>
            <w:r>
              <w:t xml:space="preserve">Name a similarity and a difference</w:t>
            </w:r>
          </w:p>
        </w:tc>
        <w:tc>
          <w:tcPr/>
          <w:p>
            <w:pPr>
              <w:pStyle w:val="Compact"/>
            </w:pPr>
            <w:r>
              <w:t xml:space="preserve">Use</w:t>
            </w:r>
            <w:r>
              <w:t xml:space="preserve"> </w:t>
            </w:r>
            <w:r>
              <w:t xml:space="preserve">“both… but…”</w:t>
            </w:r>
            <w:r>
              <w:t xml:space="preserve"> </w:t>
            </w:r>
            <w:r>
              <w:t xml:space="preserve">or</w:t>
            </w:r>
            <w:r>
              <w:t xml:space="preserve"> </w:t>
            </w:r>
            <w:r>
              <w:t xml:space="preserve">“unlike… because…”</w:t>
            </w:r>
          </w:p>
        </w:tc>
      </w:tr>
    </w:tbl>
    <w:p>
      <w:pPr>
        <w:pStyle w:val="BodyText"/>
      </w:pPr>
      <w:r>
        <w:t xml:space="preserve">Post this decoder on a classroom anchor chart and leave it up for the remainder of the course. When students encounter a Regents-style prompt, the first step is always:</w:t>
      </w:r>
      <w:r>
        <w:t xml:space="preserve"> </w:t>
      </w:r>
      <w:r>
        <w:rPr>
          <w:i/>
          <w:iCs/>
        </w:rPr>
        <w:t xml:space="preserve">read the verb, then decide what the question is asking you to produce</w:t>
      </w:r>
      <w:r>
        <w:t xml:space="preserve">.</w:t>
      </w:r>
    </w:p>
    <w:p>
      <w:pPr>
        <w:pStyle w:val="BodyText"/>
      </w:pPr>
      <w:r>
        <w:rPr>
          <w:b/>
          <w:bCs/>
        </w:rPr>
        <w:t xml:space="preserve">CRSE connection:</w:t>
      </w:r>
      <w:r>
        <w:t xml:space="preserve"> </w:t>
      </w:r>
      <w:r>
        <w:t xml:space="preserve">The phenomenon — equal access to information, unequal skill in using it — opens a direct conversation about educational equity. Every student in New York receives the same reference booklet; the difference in outcomes is not in resources but in preparation. This lesson is an explicit leveling act: by teaching the booklet’s structure deliberately, we give every student in the room the same navigational advantage that students with more test-prep exposure have historically held. The scavenger hunt also values multiple forms of knowing — spatial reasoning (where is it on the page?), pattern recognition (what type of data is this?), and procedural fluency (how do I use this value?) — making the activity accessible across different learning profiles.</w:t>
      </w:r>
    </w:p>
    <w:p>
      <w:r>
        <w:pict>
          <v:rect style="width:0;height:1.5pt" o:hralign="center" o:hrstd="t" o:hr="t"/>
        </w:pict>
      </w:r>
    </w:p>
    <w:bookmarkEnd w:id="40"/>
    <w:bookmarkStart w:id="41"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two students, same booklet, very different outcomes; drives the question of how a shared document can be used unequally</w:t>
            </w:r>
          </w:p>
        </w:tc>
      </w:tr>
      <w:tr>
        <w:tc>
          <w:tcPr/>
          <w:p>
            <w:pPr>
              <w:pStyle w:val="Compact"/>
            </w:pPr>
            <w:r>
              <w:t xml:space="preserve">2</w:t>
            </w:r>
          </w:p>
        </w:tc>
        <w:tc>
          <w:tcPr/>
          <w:p>
            <w:pPr>
              <w:pStyle w:val="Compact"/>
            </w:pPr>
            <w:r>
              <w:t xml:space="preserve">Turn and Talk (2–3×)</w:t>
            </w:r>
          </w:p>
        </w:tc>
        <w:tc>
          <w:tcPr/>
          <w:p>
            <w:pPr>
              <w:pStyle w:val="Compact"/>
            </w:pPr>
            <w:r>
              <w:t xml:space="preserve">Phase 1 TT#1 (where would you find density? atomic masses?); Phase 3 TT#2 (why does knowing the table name matter — isn’t one big list enough?)</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(open exploration before instruction — find three values with no guidance); scavenger-hunt stations (student-navigated lookup); Phase 4 (students map Unit-1 concepts to reference-table sections)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and Phase 3 — Patterns: the reference tables encode recurring chemical data patterns into a navigable hierarchical structure; Phase 4 synthesis uses the matter_map.png concept map to connect all Unit-1 patterns to their table homes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reference table / STP / density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after the scavenger hunt and matter-map synthesis, students return to the two-student scenario and articulate what has changed; Phase 5 Exit Ticket requires applying the lookup skill to new items not drilled in the worksheet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labeled table index, sentence frame, word-choice box, pre-tabbed booklet, table-selection checklist, partner structure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(density table lookup; STP conditions; sentence on why practice matters) — lookups are distinct from the worksheet’s Make-It-Make-Sense items</w:t>
            </w:r>
          </w:p>
        </w:tc>
      </w:tr>
    </w:tbl>
    <w:p>
      <w:r>
        <w:pict>
          <v:rect style="width:0;height:1.5pt" o:hralign="center" o:hrstd="t" o:hr="t"/>
        </w:pict>
      </w:r>
    </w:p>
    <w:bookmarkEnd w:id="41"/>
    <w:bookmarkStart w:id="42" w:name="companion-materials"/>
    <w:p>
      <w:pPr>
        <w:pStyle w:val="Heading2"/>
      </w:pPr>
      <w:r>
        <w:t xml:space="preserve">Companion Materials</w:t>
      </w:r>
    </w:p>
    <w:p>
      <w:pPr>
        <w:pStyle w:val="Compact"/>
        <w:numPr>
          <w:ilvl w:val="0"/>
          <w:numId w:val="1012"/>
        </w:numPr>
      </w:pPr>
      <w:r>
        <w:rPr>
          <w:rStyle w:val="VerbatimChar"/>
        </w:rPr>
        <w:t xml:space="preserve">Student_Worksheet.docx</w:t>
      </w:r>
      <w:r>
        <w:t xml:space="preserve"> </w:t>
      </w:r>
      <w:r>
        <w:t xml:space="preserve">— the 5E student investigation including the scavenger-hunt stations (hand out at start of Phase 2)</w:t>
      </w:r>
    </w:p>
    <w:p>
      <w:pPr>
        <w:pStyle w:val="Compact"/>
        <w:numPr>
          <w:ilvl w:val="0"/>
          <w:numId w:val="1012"/>
        </w:numPr>
      </w:pPr>
      <w:r>
        <w:rPr>
          <w:rStyle w:val="VerbatimChar"/>
        </w:rPr>
        <w:t xml:space="preserve">Student_Notes.docx</w:t>
      </w:r>
      <w:r>
        <w:t xml:space="preserve"> </w:t>
      </w:r>
      <w:r>
        <w:t xml:space="preserve">— guided note-guide for vocabulary and the Unit-1 concept map synthesis</w:t>
      </w:r>
    </w:p>
    <w:p>
      <w:pPr>
        <w:pStyle w:val="Compact"/>
        <w:numPr>
          <w:ilvl w:val="0"/>
          <w:numId w:val="101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2"/>
    <w:bookmarkStart w:id="43" w:name="key-vocabulary-max-3"/>
    <w:p>
      <w:pPr>
        <w:pStyle w:val="Heading2"/>
      </w:pPr>
      <w:r>
        <w:t xml:space="preserve">Key Vocabulary (max 3)</w:t>
      </w:r>
    </w:p>
    <w:p>
      <w:pPr>
        <w:pStyle w:val="Compact"/>
        <w:numPr>
          <w:ilvl w:val="0"/>
          <w:numId w:val="1013"/>
        </w:numPr>
      </w:pPr>
      <w:r>
        <w:rPr>
          <w:b/>
          <w:bCs/>
        </w:rPr>
        <w:t xml:space="preserve">reference table</w:t>
      </w:r>
      <w:r>
        <w:t xml:space="preserve"> </w:t>
      </w:r>
      <w:r>
        <w:t xml:space="preserve">— a standardized document of chemical data provided on the Regents exam; the 2025 NYS Chemistry Reference Tables organize recurring chemical data patterns — periodic properties, physical constants, SI units, solubility rules — into named sections for rapid, accurate lookup; fluency with the tables’ structure is a direct Regents assessment target</w:t>
      </w:r>
    </w:p>
    <w:p>
      <w:pPr>
        <w:pStyle w:val="Compact"/>
        <w:numPr>
          <w:ilvl w:val="0"/>
          <w:numId w:val="1013"/>
        </w:numPr>
      </w:pPr>
      <w:r>
        <w:rPr>
          <w:b/>
          <w:bCs/>
        </w:rPr>
        <w:t xml:space="preserve">STP (standard temperature and pressure)</w:t>
      </w:r>
      <w:r>
        <w:t xml:space="preserve"> </w:t>
      </w:r>
      <w:r>
        <w:t xml:space="preserve">— the agreed reference conditions defined in the reference tables as 273 K (0 °C) for temperature and 101.3 kPa for pressure; STP is the standard baseline for comparing the behavior of gases and for gas-law calculations throughout the course; always look up the precise values rather than estimating from memory</w:t>
      </w:r>
    </w:p>
    <w:p>
      <w:pPr>
        <w:pStyle w:val="Compact"/>
        <w:numPr>
          <w:ilvl w:val="0"/>
          <w:numId w:val="1013"/>
        </w:numPr>
      </w:pPr>
      <w:r>
        <w:rPr>
          <w:b/>
          <w:bCs/>
        </w:rPr>
        <w:t xml:space="preserve">density</w:t>
      </w:r>
      <w:r>
        <w:t xml:space="preserve"> </w:t>
      </w:r>
      <w:r>
        <w:t xml:space="preserve">— mass per unit volume (g/mL or g/cm³), revisited from Lesson 05; the density of water at 4 °C is 1.00 g/mL — an anchor value in the Physical Constants table used in multiple Regents calculations; looking it up from the reference tables rather than memorizing it is the fluency move this lesson reinforces</w:t>
      </w:r>
    </w:p>
    <w:bookmarkEnd w:id="43"/>
    <w:bookmarkEnd w:id="4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2026-06-01T18:14:38Z</dcterms:created>
  <dcterms:modified xsi:type="dcterms:W3CDTF">2026-06-01T18:14:38Z</dcterms:modified>
</cp:coreProperties>
</file>

<file path=docProps/custom.xml><?xml version="1.0" encoding="utf-8"?>
<Properties xmlns="http://schemas.openxmlformats.org/officeDocument/2006/custom-properties" xmlns:vt="http://schemas.openxmlformats.org/officeDocument/2006/docPropsVTypes"/>
</file>