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hd w:fill="1F4E79" w:val="clear"/>
        <w:spacing w:before="80" w:after="40"/>
        <w:jc w:val="center"/>
      </w:pPr>
      <w:r>
        <w:rPr>
          <w:rFonts w:ascii="Calibri" w:hAnsi="Calibri"/>
          <w:b/>
          <w:i w:val="0"/>
          <w:color w:val="FFFFFF"/>
          <w:sz w:val="28"/>
          <w:u w:val="none"/>
        </w:rPr>
        <w:t>Chemistry</w:t>
        <w:br/>
      </w:r>
      <w:r>
        <w:rPr>
          <w:rFonts w:ascii="Calibri" w:hAnsi="Calibri"/>
          <w:b/>
          <w:i w:val="0"/>
          <w:color w:val="FFFFFF"/>
          <w:sz w:val="24"/>
          <w:u w:val="none"/>
        </w:rPr>
        <w:t>Unit 1: Matter, Measurement &amp; Lab Safety</w:t>
        <w:br/>
        <w:t>Lesson 1: Classifying Matter: Pure Substances vs. Mixtures (Day 1 of 2)</w:t>
        <w:br/>
      </w:r>
      <w:r>
        <w:rPr>
          <w:rFonts w:ascii="Calibri" w:hAnsi="Calibri"/>
          <w:b w:val="0"/>
          <w:i/>
          <w:color w:val="D6E4F0"/>
          <w:sz w:val="22"/>
          <w:u w:val="none"/>
        </w:rPr>
        <w:t>PE: HS-PS1-1</w:t>
      </w:r>
    </w:p>
    <w:p>
      <w:pPr>
        <w:spacing w:before="160" w:after="80"/>
        <w:jc w:val="left"/>
      </w:pPr>
      <w:r>
        <w:rPr>
          <w:rFonts w:ascii="Calibri" w:hAnsi="Calibri"/>
          <w:b/>
          <w:i w:val="0"/>
          <w:color w:val="1F4E79"/>
          <w:sz w:val="24"/>
          <w:u w:val="none"/>
        </w:rPr>
        <w:t>Opening Circle (2-3 min)</w:t>
      </w:r>
    </w:p>
    <w:p>
      <w:pPr>
        <w:spacing w:before="80" w:after="80"/>
        <w:shd w:fill="D6E4F0" w:val="clear"/>
      </w:pPr>
      <w:r>
        <w:rPr>
          <w:rFonts w:ascii="Calibri" w:hAnsi="Calibri"/>
          <w:b/>
          <w:i w:val="0"/>
          <w:color w:val="1F4E79"/>
          <w:sz w:val="22"/>
          <w:u w:val="none"/>
        </w:rPr>
        <w:t xml:space="preserve">Community Prompt: </w:t>
      </w:r>
      <w:r>
        <w:rPr>
          <w:rFonts w:ascii="Calibri" w:hAnsi="Calibri"/>
          <w:b w:val="0"/>
          <w:i w:val="0"/>
          <w:color w:val="000000"/>
          <w:sz w:val="22"/>
          <w:u w:val="none"/>
        </w:rPr>
        <w:t>Share a time when something changed form but was still the same thing underneath.</w:t>
      </w:r>
    </w:p>
    <w:p>
      <w:pPr>
        <w:spacing w:before="160" w:after="80"/>
        <w:jc w:val="left"/>
      </w:pPr>
      <w:r>
        <w:rPr>
          <w:rFonts w:ascii="Calibri" w:hAnsi="Calibri"/>
          <w:b/>
          <w:i w:val="0"/>
          <w:color w:val="1F4E79"/>
          <w:sz w:val="24"/>
          <w:u w:val="none"/>
        </w:rPr>
        <w:t>Do Now (3-5 min)</w:t>
      </w:r>
    </w:p>
    <w:p>
      <w:pPr>
        <w:spacing w:before="80" w:after="80"/>
        <w:shd w:fill="E2EFDA" w:val="clear"/>
      </w:pPr>
      <w:r>
        <w:rPr>
          <w:rFonts w:ascii="Calibri" w:hAnsi="Calibri"/>
          <w:b/>
          <w:i w:val="0"/>
          <w:color w:val="1F4E79"/>
          <w:sz w:val="22"/>
          <w:u w:val="none"/>
        </w:rPr>
        <w:t xml:space="preserve">Activity: </w:t>
      </w:r>
      <w:r>
        <w:rPr>
          <w:rFonts w:ascii="Calibri" w:hAnsi="Calibri"/>
          <w:b w:val="0"/>
          <w:i w:val="0"/>
          <w:color w:val="000000"/>
          <w:sz w:val="22"/>
          <w:u w:val="none"/>
        </w:rPr>
        <w:t>Look at the four items on your desk (salt, sand, a penny, and trail mix). Sort them into two groups and be ready to explain your reasoning.</w:t>
      </w:r>
    </w:p>
    <w:p>
      <w:pPr>
        <w:spacing w:before="40" w:after="40"/>
        <w:pBdr>
          <w:bottom w:val="single" w:sz="4" w:space="1" w:color="1F4E79"/>
        </w:pBdr>
      </w:pPr>
    </w:p>
    <w:p>
      <w:pPr>
        <w:spacing w:before="120" w:after="120"/>
        <w:jc w:val="left"/>
      </w:pPr>
      <w:r>
        <w:rPr>
          <w:rFonts w:ascii="Calibri" w:hAnsi="Calibri"/>
          <w:b/>
          <w:i w:val="0"/>
          <w:color w:val="1F4E79"/>
          <w:sz w:val="24"/>
          <w:u w:val="none"/>
        </w:rPr>
        <w:t xml:space="preserve">Learning Target: </w:t>
      </w:r>
      <w:r>
        <w:rPr>
          <w:rFonts w:ascii="Calibri" w:hAnsi="Calibri"/>
          <w:b/>
          <w:i w:val="0"/>
          <w:color w:val="000000"/>
          <w:sz w:val="24"/>
          <w:u w:val="none"/>
        </w:rPr>
        <w:t>At the end of 42 minutes I can define and identify key concepts related to: classify matter as a pure substance or mixture and further distinguish between elements, compounds, homogeneous mixtures, and heterogeneous mixtures based on observable properties</w:t>
      </w:r>
    </w:p>
    <w:p>
      <w:pPr>
        <w:spacing w:before="40" w:after="40"/>
        <w:pBdr>
          <w:bottom w:val="single" w:sz="4" w:space="1" w:color="1F4E79"/>
        </w:pBdr>
      </w:pPr>
    </w:p>
    <w:p>
      <w:pPr>
        <w:spacing w:before="160" w:after="80"/>
        <w:jc w:val="left"/>
      </w:pPr>
      <w:r>
        <w:rPr>
          <w:rFonts w:ascii="Calibri" w:hAnsi="Calibri"/>
          <w:b/>
          <w:i w:val="0"/>
          <w:color w:val="1F4E79"/>
          <w:sz w:val="24"/>
          <w:u w:val="none"/>
        </w:rPr>
        <w:t>Standards Alignment</w:t>
      </w:r>
    </w:p>
    <w:tbl>
      <w:tblPr>
        <w:tblStyle w:val="TableGrid"/>
        <w:tblW w:type="auto" w:w="0"/>
        <w:jc w:val="center"/>
        <w:tblLook w:firstColumn="1" w:firstRow="1" w:lastColumn="0" w:lastRow="0" w:noHBand="0" w:noVBand="1" w:val="04A0"/>
      </w:tblPr>
      <w:tblGrid>
        <w:gridCol w:w="2520"/>
        <w:gridCol w:w="2520"/>
        <w:gridCol w:w="2520"/>
        <w:gridCol w:w="2520"/>
      </w:tblGrid>
      <w:tr>
        <w:tc>
          <w:tcPr>
            <w:tcW w:type="dxa" w:w="1728"/>
            <w:shd w:fill="1F4E79" w:val="clear"/>
          </w:tcPr>
          <w:p>
            <w:pPr>
              <w:jc w:val="center"/>
            </w:pPr>
            <w:r/>
            <w:r>
              <w:rPr>
                <w:rFonts w:ascii="Calibri" w:hAnsi="Calibri"/>
                <w:b/>
                <w:i w:val="0"/>
                <w:color w:val="FFFFFF"/>
                <w:sz w:val="22"/>
                <w:u w:val="none"/>
              </w:rPr>
              <w:t>PE</w:t>
            </w:r>
          </w:p>
        </w:tc>
        <w:tc>
          <w:tcPr>
            <w:tcW w:type="dxa" w:w="2880"/>
            <w:shd w:fill="1F4E79" w:val="clear"/>
          </w:tcPr>
          <w:p>
            <w:pPr>
              <w:jc w:val="center"/>
            </w:pPr>
            <w:r/>
            <w:r>
              <w:rPr>
                <w:rFonts w:ascii="Calibri" w:hAnsi="Calibri"/>
                <w:b/>
                <w:i w:val="0"/>
                <w:color w:val="FFFFFF"/>
                <w:sz w:val="22"/>
                <w:u w:val="none"/>
              </w:rPr>
              <w:t>SEP</w:t>
            </w:r>
          </w:p>
        </w:tc>
        <w:tc>
          <w:tcPr>
            <w:tcW w:type="dxa" w:w="2160"/>
            <w:shd w:fill="1F4E79" w:val="clear"/>
          </w:tcPr>
          <w:p>
            <w:pPr>
              <w:jc w:val="center"/>
            </w:pPr>
            <w:r/>
            <w:r>
              <w:rPr>
                <w:rFonts w:ascii="Calibri" w:hAnsi="Calibri"/>
                <w:b/>
                <w:i w:val="0"/>
                <w:color w:val="FFFFFF"/>
                <w:sz w:val="22"/>
                <w:u w:val="none"/>
              </w:rPr>
              <w:t>CCC</w:t>
            </w:r>
          </w:p>
        </w:tc>
        <w:tc>
          <w:tcPr>
            <w:tcW w:type="dxa" w:w="3600"/>
            <w:shd w:fill="1F4E79" w:val="clear"/>
          </w:tcPr>
          <w:p>
            <w:pPr>
              <w:jc w:val="center"/>
            </w:pPr>
            <w:r/>
            <w:r>
              <w:rPr>
                <w:rFonts w:ascii="Calibri" w:hAnsi="Calibri"/>
                <w:b/>
                <w:i w:val="0"/>
                <w:color w:val="FFFFFF"/>
                <w:sz w:val="22"/>
                <w:u w:val="none"/>
              </w:rPr>
              <w:t>DCI</w:t>
            </w:r>
          </w:p>
        </w:tc>
      </w:tr>
      <w:tr>
        <w:tc>
          <w:tcPr>
            <w:tcW w:type="dxa" w:w="1728"/>
          </w:tcPr>
          <w:p>
            <w:r/>
            <w:r>
              <w:rPr>
                <w:rFonts w:ascii="Calibri" w:hAnsi="Calibri"/>
                <w:b w:val="0"/>
                <w:i w:val="0"/>
                <w:color w:val="000000"/>
                <w:sz w:val="22"/>
                <w:u w:val="none"/>
              </w:rPr>
              <w:t>HS-PS1-1</w:t>
            </w:r>
          </w:p>
        </w:tc>
        <w:tc>
          <w:tcPr>
            <w:tcW w:type="dxa" w:w="2880"/>
          </w:tcPr>
          <w:p>
            <w:r/>
            <w:r>
              <w:rPr>
                <w:rFonts w:ascii="Calibri" w:hAnsi="Calibri"/>
                <w:b w:val="0"/>
                <w:i w:val="0"/>
                <w:color w:val="000000"/>
                <w:sz w:val="22"/>
                <w:u w:val="none"/>
              </w:rPr>
              <w:t>Developing and Using Models</w:t>
            </w:r>
          </w:p>
        </w:tc>
        <w:tc>
          <w:tcPr>
            <w:tcW w:type="dxa" w:w="2160"/>
          </w:tcPr>
          <w:p>
            <w:r/>
            <w:r>
              <w:rPr>
                <w:rFonts w:ascii="Calibri" w:hAnsi="Calibri"/>
                <w:b w:val="0"/>
                <w:i w:val="0"/>
                <w:color w:val="000000"/>
                <w:sz w:val="22"/>
                <w:u w:val="none"/>
              </w:rPr>
              <w:t>Patterns</w:t>
            </w:r>
          </w:p>
        </w:tc>
        <w:tc>
          <w:tcPr>
            <w:tcW w:type="dxa" w:w="3600"/>
          </w:tcPr>
          <w:p>
            <w:r/>
            <w:r>
              <w:rPr>
                <w:rFonts w:ascii="Calibri" w:hAnsi="Calibri"/>
                <w:b w:val="0"/>
                <w:i w:val="0"/>
                <w:color w:val="000000"/>
                <w:sz w:val="22"/>
                <w:u w:val="none"/>
              </w:rPr>
              <w:t>PS1.A: Structure and Properties of Matter</w:t>
            </w:r>
          </w:p>
        </w:tc>
      </w:tr>
    </w:tbl>
    <w:p/>
    <w:p>
      <w:pPr>
        <w:spacing w:before="160" w:after="80"/>
        <w:jc w:val="left"/>
      </w:pPr>
      <w:r>
        <w:rPr>
          <w:rFonts w:ascii="Calibri" w:hAnsi="Calibri"/>
          <w:b/>
          <w:i w:val="0"/>
          <w:color w:val="1F4E79"/>
          <w:sz w:val="24"/>
          <w:u w:val="none"/>
        </w:rPr>
        <w:t>Materials &amp; Preparation</w:t>
      </w:r>
    </w:p>
    <w:p>
      <w:pPr>
        <w:pStyle w:val="ListBullet"/>
        <w:spacing w:before="20" w:after="20"/>
      </w:pPr>
      <w:r>
        <w:rPr>
          <w:rFonts w:ascii="Calibri" w:hAnsi="Calibri"/>
          <w:b w:val="0"/>
          <w:i w:val="0"/>
          <w:color w:val="000000"/>
          <w:sz w:val="22"/>
          <w:u w:val="none"/>
        </w:rPr>
        <w:t>Sample set per group: salt, sand, iron filings, trail mix, distilled water</w:t>
      </w:r>
    </w:p>
    <w:p>
      <w:pPr>
        <w:pStyle w:val="ListBullet"/>
        <w:spacing w:before="20" w:after="20"/>
      </w:pPr>
      <w:r>
        <w:rPr>
          <w:rFonts w:ascii="Calibri" w:hAnsi="Calibri"/>
          <w:b w:val="0"/>
          <w:i w:val="0"/>
          <w:color w:val="000000"/>
          <w:sz w:val="22"/>
          <w:u w:val="none"/>
        </w:rPr>
        <w:t>Hand lenses (1 per student)</w:t>
      </w:r>
    </w:p>
    <w:p>
      <w:pPr>
        <w:pStyle w:val="ListBullet"/>
        <w:spacing w:before="20" w:after="20"/>
      </w:pPr>
      <w:r>
        <w:rPr>
          <w:rFonts w:ascii="Calibri" w:hAnsi="Calibri"/>
          <w:b w:val="0"/>
          <w:i w:val="0"/>
          <w:color w:val="000000"/>
          <w:sz w:val="22"/>
          <w:u w:val="none"/>
        </w:rPr>
        <w:t>Magnets (1 per group)</w:t>
      </w:r>
    </w:p>
    <w:p>
      <w:pPr>
        <w:pStyle w:val="ListBullet"/>
        <w:spacing w:before="20" w:after="20"/>
      </w:pPr>
      <w:r>
        <w:rPr>
          <w:rFonts w:ascii="Calibri" w:hAnsi="Calibri"/>
          <w:b w:val="0"/>
          <w:i w:val="0"/>
          <w:color w:val="000000"/>
          <w:sz w:val="22"/>
          <w:u w:val="none"/>
        </w:rPr>
        <w:t>Classification graphic organizer (printed)</w:t>
      </w:r>
    </w:p>
    <w:p>
      <w:pPr>
        <w:pStyle w:val="ListBullet"/>
        <w:spacing w:before="20" w:after="20"/>
      </w:pPr>
      <w:r>
        <w:rPr>
          <w:rFonts w:ascii="Calibri" w:hAnsi="Calibri"/>
          <w:b w:val="0"/>
          <w:i w:val="0"/>
          <w:color w:val="000000"/>
          <w:sz w:val="22"/>
          <w:u w:val="none"/>
        </w:rPr>
        <w:t>Matter Classification anchor chart</w:t>
      </w:r>
    </w:p>
    <w:p>
      <w:pPr>
        <w:spacing w:before="160" w:after="80"/>
        <w:jc w:val="left"/>
      </w:pPr>
      <w:r>
        <w:rPr>
          <w:rFonts w:ascii="Calibri" w:hAnsi="Calibri"/>
          <w:b/>
          <w:i w:val="0"/>
          <w:color w:val="1F4E79"/>
          <w:sz w:val="24"/>
          <w:u w:val="none"/>
        </w:rPr>
        <w:t>5E Instructional Sequence</w:t>
      </w:r>
    </w:p>
    <w:p>
      <w:pPr>
        <w:spacing w:before="80" w:after="40"/>
      </w:pPr>
      <w:r>
        <w:rPr>
          <w:rFonts w:ascii="Calibri" w:hAnsi="Calibri"/>
          <w:b/>
          <w:i w:val="0"/>
          <w:color w:val="1F4E79"/>
          <w:sz w:val="22"/>
          <w:u w:val="none"/>
        </w:rPr>
        <w:t xml:space="preserve">Engage (5 min): </w:t>
      </w:r>
      <w:r>
        <w:rPr>
          <w:rFonts w:ascii="Calibri" w:hAnsi="Calibri"/>
          <w:b w:val="0"/>
          <w:i w:val="0"/>
          <w:color w:val="000000"/>
          <w:sz w:val="22"/>
          <w:u w:val="none"/>
        </w:rPr>
        <w:t>Introduce the phenomenon and driving question. Students make initial observations and predictions. Topic focus: Classifying Matter: Pure Substances vs. Mixtures. Show a short video clip of a street food vendor making cotton candy. Ask: Is cotton candy the same substance as the sugar that went in? Students turn-and-talk, then share out. Chart initial ideas on the board.</w:t>
      </w:r>
    </w:p>
    <w:p>
      <w:pPr>
        <w:spacing w:before="80" w:after="40"/>
      </w:pPr>
      <w:r>
        <w:rPr>
          <w:rFonts w:ascii="Calibri" w:hAnsi="Calibri"/>
          <w:b/>
          <w:i w:val="0"/>
          <w:color w:val="1F4E79"/>
          <w:sz w:val="22"/>
          <w:u w:val="none"/>
        </w:rPr>
        <w:t xml:space="preserve">Explore (12 min): </w:t>
      </w:r>
      <w:r>
        <w:rPr>
          <w:rFonts w:ascii="Calibri" w:hAnsi="Calibri"/>
          <w:b w:val="0"/>
          <w:i w:val="0"/>
          <w:color w:val="000000"/>
          <w:sz w:val="22"/>
          <w:u w:val="none"/>
        </w:rPr>
        <w:t>Hands-on exploration or guided investigation to build initial understanding. Topic focus: Classifying Matter: Pure Substances vs. Mixtures. In groups of 3, students examine the sample set using hand lenses and magnets. They record observations in a T-chart (what they see vs. what they infer about composition). Groups attempt to sort substances into categories and post their sorting criteria on sticky notes.</w:t>
      </w:r>
    </w:p>
    <w:p>
      <w:pPr>
        <w:spacing w:before="80" w:after="40"/>
      </w:pPr>
      <w:r>
        <w:rPr>
          <w:rFonts w:ascii="Calibri" w:hAnsi="Calibri"/>
          <w:b/>
          <w:i w:val="0"/>
          <w:color w:val="1F4E79"/>
          <w:sz w:val="22"/>
          <w:u w:val="none"/>
        </w:rPr>
        <w:t xml:space="preserve">Explain (8 min): </w:t>
      </w:r>
      <w:r>
        <w:rPr>
          <w:rFonts w:ascii="Calibri" w:hAnsi="Calibri"/>
          <w:b w:val="0"/>
          <w:i w:val="0"/>
          <w:color w:val="000000"/>
          <w:sz w:val="22"/>
          <w:u w:val="none"/>
        </w:rPr>
        <w:t>Teacher-led instruction introducing key vocabulary and foundational concepts. Topic focus: Classifying Matter: Pure Substances vs. Mixtures. Teacher-led discussion building the classification hierarchy: Matter splits into Pure Substances (Elements, Compounds) and Mixtures (Homogeneous, Heterogeneous). Students label their samples using the new vocabulary and complete the graphic organizer with definitions and examples for each category.</w:t>
      </w:r>
    </w:p>
    <w:p>
      <w:pPr>
        <w:spacing w:before="80" w:after="40"/>
      </w:pPr>
      <w:r>
        <w:rPr>
          <w:rFonts w:ascii="Calibri" w:hAnsi="Calibri"/>
          <w:b/>
          <w:i w:val="0"/>
          <w:color w:val="1F4E79"/>
          <w:sz w:val="22"/>
          <w:u w:val="none"/>
        </w:rPr>
        <w:t xml:space="preserve">Elaborate (7 min): </w:t>
      </w:r>
      <w:r>
        <w:rPr>
          <w:rFonts w:ascii="Calibri" w:hAnsi="Calibri"/>
          <w:b w:val="0"/>
          <w:i w:val="0"/>
          <w:color w:val="000000"/>
          <w:sz w:val="22"/>
          <w:u w:val="none"/>
        </w:rPr>
        <w:t>Hochman writing activity connecting new vocabulary to prior knowledge. Topic focus: Classifying Matter: Pure Substances vs. Mixtures. Students receive three new mystery samples (bronze coin, carbonated water, granite rock) and must classify them using the framework. They write a justification sentence for each using the Because/But/So structure.</w:t>
      </w:r>
    </w:p>
    <w:p>
      <w:pPr>
        <w:spacing w:before="80" w:after="40"/>
      </w:pPr>
      <w:r>
        <w:rPr>
          <w:rFonts w:ascii="Calibri" w:hAnsi="Calibri"/>
          <w:b/>
          <w:i w:val="0"/>
          <w:color w:val="1F4E79"/>
          <w:sz w:val="22"/>
          <w:u w:val="none"/>
        </w:rPr>
        <w:t xml:space="preserve">Evaluate (3 min): </w:t>
      </w:r>
      <w:r>
        <w:rPr>
          <w:rFonts w:ascii="Calibri" w:hAnsi="Calibri"/>
          <w:b w:val="0"/>
          <w:i w:val="0"/>
          <w:color w:val="000000"/>
          <w:sz w:val="22"/>
          <w:u w:val="none"/>
        </w:rPr>
        <w:t>Quick formative check — exit ticket with 2-3 questions on key definitions and concepts. Topic focus: Classifying Matter: Pure Substances vs. Mixtures. Exit ticket: Given a description of a substance (e.g., 'a clear liquid that boils at 100 degrees C and is composed of hydrogen and oxygen atoms chemically bonded'), students identify it as element, compound, homogeneous mixture, or heterogeneous mixture and provide one piece of supporting evidence.</w:t>
      </w:r>
    </w:p>
    <w:p/>
    <w:p>
      <w:pPr>
        <w:spacing w:before="160" w:after="80"/>
        <w:jc w:val="left"/>
      </w:pPr>
      <w:r>
        <w:rPr>
          <w:rFonts w:ascii="Calibri" w:hAnsi="Calibri"/>
          <w:b/>
          <w:i w:val="0"/>
          <w:color w:val="1F4E79"/>
          <w:sz w:val="24"/>
          <w:u w:val="none"/>
        </w:rPr>
        <w:t>Differentiation</w:t>
      </w:r>
    </w:p>
    <w:tbl>
      <w:tblPr>
        <w:tblStyle w:val="TableGrid"/>
        <w:tblW w:type="auto" w:w="0"/>
        <w:jc w:val="center"/>
        <w:tblLook w:firstColumn="1" w:firstRow="1" w:lastColumn="0" w:lastRow="0" w:noHBand="0" w:noVBand="1" w:val="04A0"/>
      </w:tblPr>
      <w:tblGrid>
        <w:gridCol w:w="5040"/>
        <w:gridCol w:w="5040"/>
      </w:tblGrid>
      <w:tr>
        <w:tc>
          <w:tcPr>
            <w:tcW w:type="dxa" w:w="2160"/>
            <w:shd w:fill="1F4E79" w:val="clear"/>
          </w:tcPr>
          <w:p>
            <w:pPr>
              <w:jc w:val="center"/>
            </w:pPr>
            <w:r/>
            <w:r>
              <w:rPr>
                <w:rFonts w:ascii="Calibri" w:hAnsi="Calibri"/>
                <w:b/>
                <w:i w:val="0"/>
                <w:color w:val="FFFFFF"/>
                <w:sz w:val="22"/>
                <w:u w:val="none"/>
              </w:rPr>
              <w:t>Level</w:t>
            </w:r>
          </w:p>
        </w:tc>
        <w:tc>
          <w:tcPr>
            <w:tcW w:type="dxa" w:w="7920"/>
            <w:shd w:fill="1F4E79" w:val="clear"/>
          </w:tcPr>
          <w:p>
            <w:pPr>
              <w:jc w:val="center"/>
            </w:pPr>
            <w:r/>
            <w:r>
              <w:rPr>
                <w:rFonts w:ascii="Calibri" w:hAnsi="Calibri"/>
                <w:b/>
                <w:i w:val="0"/>
                <w:color w:val="FFFFFF"/>
                <w:sz w:val="22"/>
                <w:u w:val="none"/>
              </w:rPr>
              <w:t>Accommodations / Modifications</w:t>
            </w:r>
          </w:p>
        </w:tc>
      </w:tr>
      <w:tr>
        <w:tc>
          <w:tcPr>
            <w:tcW w:type="dxa" w:w="2160"/>
          </w:tcPr>
          <w:p>
            <w:r/>
            <w:r>
              <w:rPr>
                <w:rFonts w:ascii="Calibri" w:hAnsi="Calibri"/>
                <w:b w:val="0"/>
                <w:i w:val="0"/>
                <w:color w:val="000000"/>
                <w:sz w:val="22"/>
                <w:u w:val="none"/>
              </w:rPr>
              <w:t>Approaching</w:t>
            </w:r>
          </w:p>
        </w:tc>
        <w:tc>
          <w:tcPr>
            <w:tcW w:type="dxa" w:w="7920"/>
          </w:tcPr>
          <w:p>
            <w:r/>
            <w:r>
              <w:rPr>
                <w:rFonts w:ascii="Calibri" w:hAnsi="Calibri"/>
                <w:b w:val="0"/>
                <w:i w:val="0"/>
                <w:color w:val="000000"/>
                <w:sz w:val="22"/>
                <w:u w:val="none"/>
              </w:rPr>
              <w:t>Provide a pre-filled graphic organizer with key terms and definitions already placed; pair with a peer mentor during the Explore phase for guided observation.</w:t>
            </w:r>
          </w:p>
        </w:tc>
      </w:tr>
      <w:tr>
        <w:tc>
          <w:tcPr>
            <w:tcW w:type="dxa" w:w="2160"/>
            <w:shd w:fill="F2F2F2" w:val="clear"/>
          </w:tcPr>
          <w:p>
            <w:r/>
            <w:r>
              <w:rPr>
                <w:rFonts w:ascii="Calibri" w:hAnsi="Calibri"/>
                <w:b w:val="0"/>
                <w:i w:val="0"/>
                <w:color w:val="000000"/>
                <w:sz w:val="22"/>
                <w:u w:val="none"/>
              </w:rPr>
              <w:t>On-Level</w:t>
            </w:r>
          </w:p>
        </w:tc>
        <w:tc>
          <w:tcPr>
            <w:tcW w:type="dxa" w:w="7920"/>
            <w:shd w:fill="F2F2F2" w:val="clear"/>
          </w:tcPr>
          <w:p>
            <w:r/>
            <w:r>
              <w:rPr>
                <w:rFonts w:ascii="Calibri" w:hAnsi="Calibri"/>
                <w:b w:val="0"/>
                <w:i w:val="0"/>
                <w:color w:val="000000"/>
                <w:sz w:val="22"/>
                <w:u w:val="none"/>
              </w:rPr>
              <w:t>Complete the classification activity as designed with the graphic organizer scaffold.</w:t>
            </w:r>
          </w:p>
        </w:tc>
      </w:tr>
      <w:tr>
        <w:tc>
          <w:tcPr>
            <w:tcW w:type="dxa" w:w="2160"/>
          </w:tcPr>
          <w:p>
            <w:r/>
            <w:r>
              <w:rPr>
                <w:rFonts w:ascii="Calibri" w:hAnsi="Calibri"/>
                <w:b w:val="0"/>
                <w:i w:val="0"/>
                <w:color w:val="000000"/>
                <w:sz w:val="22"/>
                <w:u w:val="none"/>
              </w:rPr>
              <w:t>Advanced</w:t>
            </w:r>
          </w:p>
        </w:tc>
        <w:tc>
          <w:tcPr>
            <w:tcW w:type="dxa" w:w="7920"/>
          </w:tcPr>
          <w:p>
            <w:r/>
            <w:r>
              <w:rPr>
                <w:rFonts w:ascii="Calibri" w:hAnsi="Calibri"/>
                <w:b w:val="0"/>
                <w:i w:val="0"/>
                <w:color w:val="000000"/>
                <w:sz w:val="22"/>
                <w:u w:val="none"/>
              </w:rPr>
              <w:t>Challenge students to propose a method to separate each mixture and explain the physical principle behind each separation technique (filtration, distillation, chromatography).</w:t>
            </w:r>
          </w:p>
        </w:tc>
      </w:tr>
      <w:tr>
        <w:tc>
          <w:tcPr>
            <w:tcW w:type="dxa" w:w="2160"/>
            <w:shd w:fill="F2F2F2" w:val="clear"/>
          </w:tcPr>
          <w:p>
            <w:r/>
            <w:r>
              <w:rPr>
                <w:rFonts w:ascii="Calibri" w:hAnsi="Calibri"/>
                <w:b w:val="0"/>
                <w:i w:val="0"/>
                <w:color w:val="000000"/>
                <w:sz w:val="22"/>
                <w:u w:val="none"/>
              </w:rPr>
              <w:t>ELL</w:t>
            </w:r>
          </w:p>
        </w:tc>
        <w:tc>
          <w:tcPr>
            <w:tcW w:type="dxa" w:w="7920"/>
            <w:shd w:fill="F2F2F2" w:val="clear"/>
          </w:tcPr>
          <w:p>
            <w:r/>
            <w:r>
              <w:rPr>
                <w:rFonts w:ascii="Calibri" w:hAnsi="Calibri"/>
                <w:b w:val="0"/>
                <w:i w:val="0"/>
                <w:color w:val="000000"/>
                <w:sz w:val="22"/>
                <w:u w:val="none"/>
              </w:rPr>
              <w:t>Provide a bilingual vocabulary list (Spanish/English) with diagrams; use visual cues on the classification chart; allow verbal responses during the Evaluate phase.</w:t>
            </w:r>
          </w:p>
        </w:tc>
      </w:tr>
      <w:tr>
        <w:tc>
          <w:tcPr>
            <w:tcW w:type="dxa" w:w="2160"/>
          </w:tcPr>
          <w:p>
            <w:r/>
            <w:r>
              <w:rPr>
                <w:rFonts w:ascii="Calibri" w:hAnsi="Calibri"/>
                <w:b w:val="0"/>
                <w:i w:val="0"/>
                <w:color w:val="000000"/>
                <w:sz w:val="22"/>
                <w:u w:val="none"/>
              </w:rPr>
              <w:t>IEP</w:t>
            </w:r>
          </w:p>
        </w:tc>
        <w:tc>
          <w:tcPr>
            <w:tcW w:type="dxa" w:w="7920"/>
          </w:tcPr>
          <w:p>
            <w:r/>
            <w:r>
              <w:rPr>
                <w:rFonts w:ascii="Calibri" w:hAnsi="Calibri"/>
                <w:b w:val="0"/>
                <w:i w:val="0"/>
                <w:color w:val="000000"/>
                <w:sz w:val="22"/>
                <w:u w:val="none"/>
              </w:rPr>
              <w:t>Extended time on exit ticket; preferential seating near the anchor chart; provide a word bank for all written responses.</w:t>
            </w:r>
          </w:p>
        </w:tc>
      </w:tr>
    </w:tbl>
    <w:p/>
    <w:p>
      <w:pPr>
        <w:spacing w:before="160" w:after="80"/>
        <w:jc w:val="left"/>
      </w:pPr>
      <w:r>
        <w:rPr>
          <w:rFonts w:ascii="Calibri" w:hAnsi="Calibri"/>
          <w:b/>
          <w:i w:val="0"/>
          <w:color w:val="1F4E79"/>
          <w:sz w:val="24"/>
          <w:u w:val="none"/>
        </w:rPr>
        <w:t>CRSE Connections</w:t>
      </w:r>
    </w:p>
    <w:p>
      <w:pPr>
        <w:spacing w:before="80" w:after="80"/>
        <w:shd w:fill="E2EFDA" w:val="clear"/>
      </w:pPr>
      <w:r>
        <w:rPr>
          <w:rFonts w:ascii="Calibri" w:hAnsi="Calibri"/>
          <w:b/>
          <w:i w:val="0"/>
          <w:color w:val="1F4E79"/>
          <w:sz w:val="22"/>
          <w:u w:val="none"/>
        </w:rPr>
        <w:t xml:space="preserve">Culturally Responsive-Sustaining Education: </w:t>
      </w:r>
      <w:r>
        <w:rPr>
          <w:rFonts w:ascii="Calibri" w:hAnsi="Calibri"/>
          <w:b w:val="0"/>
          <w:i w:val="0"/>
          <w:color w:val="000000"/>
          <w:sz w:val="22"/>
          <w:u w:val="none"/>
        </w:rPr>
        <w:t>Discuss how indigenous peoples across the Americas classified natural materials (plants, minerals, animal products) for medicine, construction, and art long before modern chemistry formalized these categories. Highlight Mayan use of indigo dye extraction as an early separation technique.</w:t>
      </w:r>
    </w:p>
    <w:p>
      <w:pPr>
        <w:spacing w:before="160" w:after="80"/>
        <w:jc w:val="left"/>
      </w:pPr>
      <w:r>
        <w:rPr>
          <w:rFonts w:ascii="Calibri" w:hAnsi="Calibri"/>
          <w:b/>
          <w:i w:val="0"/>
          <w:color w:val="1F4E79"/>
          <w:sz w:val="24"/>
          <w:u w:val="none"/>
        </w:rPr>
        <w:t>Hochman Writing Integration</w:t>
      </w:r>
    </w:p>
    <w:p>
      <w:pPr>
        <w:spacing w:before="80" w:after="80"/>
        <w:shd w:fill="D6E4F0" w:val="clear"/>
      </w:pPr>
      <w:r>
        <w:rPr>
          <w:rFonts w:ascii="Calibri" w:hAnsi="Calibri"/>
          <w:b/>
          <w:i w:val="0"/>
          <w:color w:val="1F4E79"/>
          <w:sz w:val="22"/>
          <w:u w:val="none"/>
        </w:rPr>
        <w:t xml:space="preserve">Literacy Activity: </w:t>
      </w:r>
      <w:r>
        <w:rPr>
          <w:rFonts w:ascii="Calibri" w:hAnsi="Calibri"/>
          <w:b w:val="0"/>
          <w:i w:val="0"/>
          <w:color w:val="000000"/>
          <w:sz w:val="22"/>
          <w:u w:val="none"/>
        </w:rPr>
        <w:t>Because/But/So sentences using 'heterogeneous mixture': Trail mix is a heterogeneous mixture because___. Trail mix contains different visible components, but___. Trail mix is made of physically combined ingredients, so___.</w:t>
      </w:r>
    </w:p>
    <w:sectPr w:rsidR="00FC693F" w:rsidRPr="0006063C" w:rsidSect="00034616">
      <w:footerReference w:type="default" r:id="rId9"/>
      <w:pgSz w:w="12240" w:h="15840"/>
      <w:pgMar w:top="1080" w:right="1080" w:bottom="1080"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Calibri" w:hAnsi="Calibri"/>
        <w:color w:val="1F4E79"/>
        <w:sz w:val="18"/>
      </w:rPr>
      <w:t>Valley Stream Central High School District</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