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hd w:fill="1F4E79" w:val="clear"/>
        <w:spacing w:before="80" w:after="40"/>
        <w:jc w:val="center"/>
      </w:pPr>
      <w:r>
        <w:rPr>
          <w:rFonts w:ascii="Calibri" w:hAnsi="Calibri"/>
          <w:b/>
          <w:i w:val="0"/>
          <w:color w:val="FFFFFF"/>
          <w:sz w:val="28"/>
          <w:u w:val="none"/>
        </w:rPr>
        <w:t>Chemistry</w:t>
        <w:br/>
      </w:r>
      <w:r>
        <w:rPr>
          <w:rFonts w:ascii="Calibri" w:hAnsi="Calibri"/>
          <w:b/>
          <w:i w:val="0"/>
          <w:color w:val="FFFFFF"/>
          <w:sz w:val="24"/>
          <w:u w:val="none"/>
        </w:rPr>
        <w:t>Unit 1: Matter, Measurement &amp; Lab Safety</w:t>
        <w:br/>
        <w:t>Lesson 11: Separation Techniques and Matter Review (Day 1 of 2)</w:t>
        <w:br/>
      </w:r>
      <w:r>
        <w:rPr>
          <w:rFonts w:ascii="Calibri" w:hAnsi="Calibri"/>
          <w:b w:val="0"/>
          <w:i/>
          <w:color w:val="D6E4F0"/>
          <w:sz w:val="22"/>
          <w:u w:val="none"/>
        </w:rPr>
        <w:t>PE: HS-PS1-3</w:t>
      </w:r>
    </w:p>
    <w:p>
      <w:pPr>
        <w:spacing w:before="160" w:after="80"/>
        <w:jc w:val="left"/>
      </w:pPr>
      <w:r>
        <w:rPr>
          <w:rFonts w:ascii="Calibri" w:hAnsi="Calibri"/>
          <w:b/>
          <w:i w:val="0"/>
          <w:color w:val="1F4E79"/>
          <w:sz w:val="24"/>
          <w:u w:val="none"/>
        </w:rPr>
        <w:t>Opening Circle (2-3 min)</w:t>
      </w:r>
    </w:p>
    <w:p>
      <w:pPr>
        <w:spacing w:before="80" w:after="80"/>
        <w:shd w:fill="D6E4F0" w:val="clear"/>
      </w:pPr>
      <w:r>
        <w:rPr>
          <w:rFonts w:ascii="Calibri" w:hAnsi="Calibri"/>
          <w:b/>
          <w:i w:val="0"/>
          <w:color w:val="1F4E79"/>
          <w:sz w:val="22"/>
          <w:u w:val="none"/>
        </w:rPr>
        <w:t xml:space="preserve">Community Prompt: </w:t>
      </w:r>
      <w:r>
        <w:rPr>
          <w:rFonts w:ascii="Calibri" w:hAnsi="Calibri"/>
          <w:b w:val="0"/>
          <w:i w:val="0"/>
          <w:color w:val="000000"/>
          <w:sz w:val="22"/>
          <w:u w:val="none"/>
        </w:rPr>
        <w:t>If you had to separate a mixture of sand, salt, and iron filings using only household items, what would you try first and why?</w:t>
      </w:r>
    </w:p>
    <w:p>
      <w:pPr>
        <w:spacing w:before="160" w:after="80"/>
        <w:jc w:val="left"/>
      </w:pPr>
      <w:r>
        <w:rPr>
          <w:rFonts w:ascii="Calibri" w:hAnsi="Calibri"/>
          <w:b/>
          <w:i w:val="0"/>
          <w:color w:val="1F4E79"/>
          <w:sz w:val="24"/>
          <w:u w:val="none"/>
        </w:rPr>
        <w:t>Do Now (3-5 min)</w:t>
      </w:r>
    </w:p>
    <w:p>
      <w:pPr>
        <w:spacing w:before="80" w:after="80"/>
        <w:shd w:fill="E2EFDA" w:val="clear"/>
      </w:pPr>
      <w:r>
        <w:rPr>
          <w:rFonts w:ascii="Calibri" w:hAnsi="Calibri"/>
          <w:b/>
          <w:i w:val="0"/>
          <w:color w:val="1F4E79"/>
          <w:sz w:val="22"/>
          <w:u w:val="none"/>
        </w:rPr>
        <w:t xml:space="preserve">Activity: </w:t>
      </w:r>
      <w:r>
        <w:rPr>
          <w:rFonts w:ascii="Calibri" w:hAnsi="Calibri"/>
          <w:b w:val="0"/>
          <w:i w:val="0"/>
          <w:color w:val="000000"/>
          <w:sz w:val="22"/>
          <w:u w:val="none"/>
        </w:rPr>
        <w:t>A gold miner in the 1800s needed to separate gold flakes from river sand. Describe one method they might have used and explain what physical property makes it work.</w:t>
      </w:r>
    </w:p>
    <w:p>
      <w:pPr>
        <w:spacing w:before="40" w:after="40"/>
        <w:pBdr>
          <w:bottom w:val="single" w:sz="4" w:space="1" w:color="1F4E79"/>
        </w:pBdr>
      </w:pPr>
    </w:p>
    <w:p>
      <w:pPr>
        <w:spacing w:before="120" w:after="120"/>
        <w:jc w:val="left"/>
      </w:pPr>
      <w:r>
        <w:rPr>
          <w:rFonts w:ascii="Calibri" w:hAnsi="Calibri"/>
          <w:b/>
          <w:i w:val="0"/>
          <w:color w:val="1F4E79"/>
          <w:sz w:val="24"/>
          <w:u w:val="none"/>
        </w:rPr>
        <w:t xml:space="preserve">Learning Target: </w:t>
      </w:r>
      <w:r>
        <w:rPr>
          <w:rFonts w:ascii="Calibri" w:hAnsi="Calibri"/>
          <w:b/>
          <w:i w:val="0"/>
          <w:color w:val="000000"/>
          <w:sz w:val="24"/>
          <w:u w:val="none"/>
        </w:rPr>
        <w:t>At the end of 42 minutes I can define and identify key concepts related to: select and justify an appropriate separation technique for a given mixture based on the physical properties of its components</w:t>
      </w:r>
    </w:p>
    <w:p>
      <w:pPr>
        <w:spacing w:before="40" w:after="40"/>
        <w:pBdr>
          <w:bottom w:val="single" w:sz="4" w:space="1" w:color="1F4E79"/>
        </w:pBdr>
      </w:pPr>
    </w:p>
    <w:p>
      <w:pPr>
        <w:spacing w:before="160" w:after="80"/>
        <w:jc w:val="left"/>
      </w:pPr>
      <w:r>
        <w:rPr>
          <w:rFonts w:ascii="Calibri" w:hAnsi="Calibri"/>
          <w:b/>
          <w:i w:val="0"/>
          <w:color w:val="1F4E79"/>
          <w:sz w:val="24"/>
          <w:u w:val="none"/>
        </w:rPr>
        <w:t>Standards Alignment</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1728"/>
            <w:shd w:fill="1F4E79" w:val="clear"/>
          </w:tcPr>
          <w:p>
            <w:pPr>
              <w:jc w:val="center"/>
            </w:pPr>
            <w:r/>
            <w:r>
              <w:rPr>
                <w:rFonts w:ascii="Calibri" w:hAnsi="Calibri"/>
                <w:b/>
                <w:i w:val="0"/>
                <w:color w:val="FFFFFF"/>
                <w:sz w:val="22"/>
                <w:u w:val="none"/>
              </w:rPr>
              <w:t>PE</w:t>
            </w:r>
          </w:p>
        </w:tc>
        <w:tc>
          <w:tcPr>
            <w:tcW w:type="dxa" w:w="2880"/>
            <w:shd w:fill="1F4E79" w:val="clear"/>
          </w:tcPr>
          <w:p>
            <w:pPr>
              <w:jc w:val="center"/>
            </w:pPr>
            <w:r/>
            <w:r>
              <w:rPr>
                <w:rFonts w:ascii="Calibri" w:hAnsi="Calibri"/>
                <w:b/>
                <w:i w:val="0"/>
                <w:color w:val="FFFFFF"/>
                <w:sz w:val="22"/>
                <w:u w:val="none"/>
              </w:rPr>
              <w:t>SEP</w:t>
            </w:r>
          </w:p>
        </w:tc>
        <w:tc>
          <w:tcPr>
            <w:tcW w:type="dxa" w:w="2160"/>
            <w:shd w:fill="1F4E79" w:val="clear"/>
          </w:tcPr>
          <w:p>
            <w:pPr>
              <w:jc w:val="center"/>
            </w:pPr>
            <w:r/>
            <w:r>
              <w:rPr>
                <w:rFonts w:ascii="Calibri" w:hAnsi="Calibri"/>
                <w:b/>
                <w:i w:val="0"/>
                <w:color w:val="FFFFFF"/>
                <w:sz w:val="22"/>
                <w:u w:val="none"/>
              </w:rPr>
              <w:t>CCC</w:t>
            </w:r>
          </w:p>
        </w:tc>
        <w:tc>
          <w:tcPr>
            <w:tcW w:type="dxa" w:w="3600"/>
            <w:shd w:fill="1F4E79" w:val="clear"/>
          </w:tcPr>
          <w:p>
            <w:pPr>
              <w:jc w:val="center"/>
            </w:pPr>
            <w:r/>
            <w:r>
              <w:rPr>
                <w:rFonts w:ascii="Calibri" w:hAnsi="Calibri"/>
                <w:b/>
                <w:i w:val="0"/>
                <w:color w:val="FFFFFF"/>
                <w:sz w:val="22"/>
                <w:u w:val="none"/>
              </w:rPr>
              <w:t>DCI</w:t>
            </w:r>
          </w:p>
        </w:tc>
      </w:tr>
      <w:tr>
        <w:tc>
          <w:tcPr>
            <w:tcW w:type="dxa" w:w="1728"/>
          </w:tcPr>
          <w:p>
            <w:r/>
            <w:r>
              <w:rPr>
                <w:rFonts w:ascii="Calibri" w:hAnsi="Calibri"/>
                <w:b w:val="0"/>
                <w:i w:val="0"/>
                <w:color w:val="000000"/>
                <w:sz w:val="22"/>
                <w:u w:val="none"/>
              </w:rPr>
              <w:t>HS-PS1-3</w:t>
            </w:r>
          </w:p>
        </w:tc>
        <w:tc>
          <w:tcPr>
            <w:tcW w:type="dxa" w:w="2880"/>
          </w:tcPr>
          <w:p>
            <w:r/>
            <w:r>
              <w:rPr>
                <w:rFonts w:ascii="Calibri" w:hAnsi="Calibri"/>
                <w:b w:val="0"/>
                <w:i w:val="0"/>
                <w:color w:val="000000"/>
                <w:sz w:val="22"/>
                <w:u w:val="none"/>
              </w:rPr>
              <w:t>Planning and Carrying Out Investigations</w:t>
            </w:r>
          </w:p>
        </w:tc>
        <w:tc>
          <w:tcPr>
            <w:tcW w:type="dxa" w:w="2160"/>
          </w:tcPr>
          <w:p>
            <w:r/>
            <w:r>
              <w:rPr>
                <w:rFonts w:ascii="Calibri" w:hAnsi="Calibri"/>
                <w:b w:val="0"/>
                <w:i w:val="0"/>
                <w:color w:val="000000"/>
                <w:sz w:val="22"/>
                <w:u w:val="none"/>
              </w:rPr>
              <w:t>Structure and Function</w:t>
            </w:r>
          </w:p>
        </w:tc>
        <w:tc>
          <w:tcPr>
            <w:tcW w:type="dxa" w:w="3600"/>
          </w:tcPr>
          <w:p>
            <w:r/>
            <w:r>
              <w:rPr>
                <w:rFonts w:ascii="Calibri" w:hAnsi="Calibri"/>
                <w:b w:val="0"/>
                <w:i w:val="0"/>
                <w:color w:val="000000"/>
                <w:sz w:val="22"/>
                <w:u w:val="none"/>
              </w:rPr>
              <w:t>PS1.A: Structure and Properties of Matter</w:t>
            </w:r>
          </w:p>
        </w:tc>
      </w:tr>
    </w:tbl>
    <w:p/>
    <w:p>
      <w:pPr>
        <w:spacing w:before="160" w:after="80"/>
        <w:jc w:val="left"/>
      </w:pPr>
      <w:r>
        <w:rPr>
          <w:rFonts w:ascii="Calibri" w:hAnsi="Calibri"/>
          <w:b/>
          <w:i w:val="0"/>
          <w:color w:val="1F4E79"/>
          <w:sz w:val="24"/>
          <w:u w:val="none"/>
        </w:rPr>
        <w:t>Materials &amp; Preparation</w:t>
      </w:r>
    </w:p>
    <w:p>
      <w:pPr>
        <w:pStyle w:val="ListBullet"/>
        <w:spacing w:before="20" w:after="20"/>
      </w:pPr>
      <w:r>
        <w:rPr>
          <w:rFonts w:ascii="Calibri" w:hAnsi="Calibri"/>
          <w:b w:val="0"/>
          <w:i w:val="0"/>
          <w:color w:val="000000"/>
          <w:sz w:val="22"/>
          <w:u w:val="none"/>
        </w:rPr>
        <w:t>Mixture per group: sand, salt, iron filings, small pebbles</w:t>
      </w:r>
    </w:p>
    <w:p>
      <w:pPr>
        <w:pStyle w:val="ListBullet"/>
        <w:spacing w:before="20" w:after="20"/>
      </w:pPr>
      <w:r>
        <w:rPr>
          <w:rFonts w:ascii="Calibri" w:hAnsi="Calibri"/>
          <w:b w:val="0"/>
          <w:i w:val="0"/>
          <w:color w:val="000000"/>
          <w:sz w:val="22"/>
          <w:u w:val="none"/>
        </w:rPr>
        <w:t>Separation tools: magnets, filter paper, funnels, beakers, ring stands, evaporating dishes, hot plates</w:t>
      </w:r>
    </w:p>
    <w:p>
      <w:pPr>
        <w:pStyle w:val="ListBullet"/>
        <w:spacing w:before="20" w:after="20"/>
      </w:pPr>
      <w:r>
        <w:rPr>
          <w:rFonts w:ascii="Calibri" w:hAnsi="Calibri"/>
          <w:b w:val="0"/>
          <w:i w:val="0"/>
          <w:color w:val="000000"/>
          <w:sz w:val="22"/>
          <w:u w:val="none"/>
        </w:rPr>
        <w:t>Distilled water (500 mL per group)</w:t>
      </w:r>
    </w:p>
    <w:p>
      <w:pPr>
        <w:pStyle w:val="ListBullet"/>
        <w:spacing w:before="20" w:after="20"/>
      </w:pPr>
      <w:r>
        <w:rPr>
          <w:rFonts w:ascii="Calibri" w:hAnsi="Calibri"/>
          <w:b w:val="0"/>
          <w:i w:val="0"/>
          <w:color w:val="000000"/>
          <w:sz w:val="22"/>
          <w:u w:val="none"/>
        </w:rPr>
        <w:t>Safety goggles and aprons (1 per student)</w:t>
      </w:r>
    </w:p>
    <w:p>
      <w:pPr>
        <w:pStyle w:val="ListBullet"/>
        <w:spacing w:before="20" w:after="20"/>
      </w:pPr>
      <w:r>
        <w:rPr>
          <w:rFonts w:ascii="Calibri" w:hAnsi="Calibri"/>
          <w:b w:val="0"/>
          <w:i w:val="0"/>
          <w:color w:val="000000"/>
          <w:sz w:val="22"/>
          <w:u w:val="none"/>
        </w:rPr>
        <w:t>Separation Techniques reference sheet (printed)</w:t>
      </w:r>
    </w:p>
    <w:p>
      <w:pPr>
        <w:spacing w:before="160" w:after="80"/>
        <w:jc w:val="left"/>
      </w:pPr>
      <w:r>
        <w:rPr>
          <w:rFonts w:ascii="Calibri" w:hAnsi="Calibri"/>
          <w:b/>
          <w:i w:val="0"/>
          <w:color w:val="1F4E79"/>
          <w:sz w:val="24"/>
          <w:u w:val="none"/>
        </w:rPr>
        <w:t>5E Instructional Sequence</w:t>
      </w:r>
    </w:p>
    <w:p>
      <w:pPr>
        <w:spacing w:before="80" w:after="40"/>
      </w:pPr>
      <w:r>
        <w:rPr>
          <w:rFonts w:ascii="Calibri" w:hAnsi="Calibri"/>
          <w:b/>
          <w:i w:val="0"/>
          <w:color w:val="1F4E79"/>
          <w:sz w:val="22"/>
          <w:u w:val="none"/>
        </w:rPr>
        <w:t xml:space="preserve">Engage (5 min): </w:t>
      </w:r>
      <w:r>
        <w:rPr>
          <w:rFonts w:ascii="Calibri" w:hAnsi="Calibri"/>
          <w:b w:val="0"/>
          <w:i w:val="0"/>
          <w:color w:val="000000"/>
          <w:sz w:val="22"/>
          <w:u w:val="none"/>
        </w:rPr>
        <w:t>Introduce the phenomenon and driving question. Students make initial observations and predictions. Topic focus: Separation Techniques and Matter Review. Show images of real-world separation: a water treatment plant, panning for gold, oil-water separators after a spill. Ask: What physical property is being exploited in each case? Students pair-share their ideas.</w:t>
      </w:r>
    </w:p>
    <w:p>
      <w:pPr>
        <w:spacing w:before="80" w:after="40"/>
      </w:pPr>
      <w:r>
        <w:rPr>
          <w:rFonts w:ascii="Calibri" w:hAnsi="Calibri"/>
          <w:b/>
          <w:i w:val="0"/>
          <w:color w:val="1F4E79"/>
          <w:sz w:val="22"/>
          <w:u w:val="none"/>
        </w:rPr>
        <w:t xml:space="preserve">Explore (12 min): </w:t>
      </w:r>
      <w:r>
        <w:rPr>
          <w:rFonts w:ascii="Calibri" w:hAnsi="Calibri"/>
          <w:b w:val="0"/>
          <w:i w:val="0"/>
          <w:color w:val="000000"/>
          <w:sz w:val="22"/>
          <w:u w:val="none"/>
        </w:rPr>
        <w:t>Hands-on exploration or guided investigation to build initial understanding. Topic focus: Separation Techniques and Matter Review. Challenge lab: Each group receives a mixture of sand, salt, iron filings, and pebbles. Their task is to separate the mixture into its four pure components using available tools. Groups must plan their separation sequence before beginning (write steps on a whiteboard) and recover as much of each component as possible.</w:t>
      </w:r>
    </w:p>
    <w:p>
      <w:pPr>
        <w:spacing w:before="80" w:after="40"/>
      </w:pPr>
      <w:r>
        <w:rPr>
          <w:rFonts w:ascii="Calibri" w:hAnsi="Calibri"/>
          <w:b/>
          <w:i w:val="0"/>
          <w:color w:val="1F4E79"/>
          <w:sz w:val="22"/>
          <w:u w:val="none"/>
        </w:rPr>
        <w:t xml:space="preserve">Explain (8 min): </w:t>
      </w:r>
      <w:r>
        <w:rPr>
          <w:rFonts w:ascii="Calibri" w:hAnsi="Calibri"/>
          <w:b w:val="0"/>
          <w:i w:val="0"/>
          <w:color w:val="000000"/>
          <w:sz w:val="22"/>
          <w:u w:val="none"/>
        </w:rPr>
        <w:t>Teacher-led instruction introducing key vocabulary and foundational concepts. Topic focus: Separation Techniques and Matter Review. Class debrief: Groups share their separation sequence. Teacher formalizes the techniques — magnetism (for magnetic materials), filtration (for insoluble solids from liquids), evaporation (for dissolved solids from solution), distillation (for liquids with different boiling points), chromatography (for pigments/dyes). For each technique, identify the physical property that makes it work.</w:t>
      </w:r>
    </w:p>
    <w:p>
      <w:pPr>
        <w:spacing w:before="80" w:after="40"/>
      </w:pPr>
      <w:r>
        <w:rPr>
          <w:rFonts w:ascii="Calibri" w:hAnsi="Calibri"/>
          <w:b/>
          <w:i w:val="0"/>
          <w:color w:val="1F4E79"/>
          <w:sz w:val="22"/>
          <w:u w:val="none"/>
        </w:rPr>
        <w:t xml:space="preserve">Elaborate (7 min): </w:t>
      </w:r>
      <w:r>
        <w:rPr>
          <w:rFonts w:ascii="Calibri" w:hAnsi="Calibri"/>
          <w:b w:val="0"/>
          <w:i w:val="0"/>
          <w:color w:val="000000"/>
          <w:sz w:val="22"/>
          <w:u w:val="none"/>
        </w:rPr>
        <w:t>Hochman writing activity connecting new vocabulary to prior knowledge. Topic focus: Separation Techniques and Matter Review. Application problems: Students receive three real-world mixture scenarios (desalinating seawater, separating blood components in a hospital, extracting caffeine from coffee) and must identify the best separation technique and the physical property it depends on.</w:t>
      </w:r>
    </w:p>
    <w:p>
      <w:pPr>
        <w:spacing w:before="80" w:after="40"/>
      </w:pPr>
      <w:r>
        <w:rPr>
          <w:rFonts w:ascii="Calibri" w:hAnsi="Calibri"/>
          <w:b/>
          <w:i w:val="0"/>
          <w:color w:val="1F4E79"/>
          <w:sz w:val="22"/>
          <w:u w:val="none"/>
        </w:rPr>
        <w:t xml:space="preserve">Evaluate (3 min): </w:t>
      </w:r>
      <w:r>
        <w:rPr>
          <w:rFonts w:ascii="Calibri" w:hAnsi="Calibri"/>
          <w:b w:val="0"/>
          <w:i w:val="0"/>
          <w:color w:val="000000"/>
          <w:sz w:val="22"/>
          <w:u w:val="none"/>
        </w:rPr>
        <w:t>Quick formative check — exit ticket with 2-3 questions on key definitions and concepts. Topic focus: Separation Techniques and Matter Review. Unit 1 review exit ticket: Five cumulative questions covering matter classification, physical vs. chemical changes, measurement/sig figs, and separation techniques.</w:t>
      </w:r>
    </w:p>
    <w:p/>
    <w:p>
      <w:pPr>
        <w:spacing w:before="160" w:after="80"/>
        <w:jc w:val="left"/>
      </w:pPr>
      <w:r>
        <w:rPr>
          <w:rFonts w:ascii="Calibri" w:hAnsi="Calibri"/>
          <w:b/>
          <w:i w:val="0"/>
          <w:color w:val="1F4E79"/>
          <w:sz w:val="24"/>
          <w:u w:val="none"/>
        </w:rPr>
        <w:t>Differentiation</w:t>
      </w:r>
    </w:p>
    <w:tbl>
      <w:tblPr>
        <w:tblStyle w:val="TableGrid"/>
        <w:tblW w:type="auto" w:w="0"/>
        <w:jc w:val="center"/>
        <w:tblLook w:firstColumn="1" w:firstRow="1" w:lastColumn="0" w:lastRow="0" w:noHBand="0" w:noVBand="1" w:val="04A0"/>
      </w:tblPr>
      <w:tblGrid>
        <w:gridCol w:w="5040"/>
        <w:gridCol w:w="5040"/>
      </w:tblGrid>
      <w:tr>
        <w:tc>
          <w:tcPr>
            <w:tcW w:type="dxa" w:w="2160"/>
            <w:shd w:fill="1F4E79" w:val="clear"/>
          </w:tcPr>
          <w:p>
            <w:pPr>
              <w:jc w:val="center"/>
            </w:pPr>
            <w:r/>
            <w:r>
              <w:rPr>
                <w:rFonts w:ascii="Calibri" w:hAnsi="Calibri"/>
                <w:b/>
                <w:i w:val="0"/>
                <w:color w:val="FFFFFF"/>
                <w:sz w:val="22"/>
                <w:u w:val="none"/>
              </w:rPr>
              <w:t>Level</w:t>
            </w:r>
          </w:p>
        </w:tc>
        <w:tc>
          <w:tcPr>
            <w:tcW w:type="dxa" w:w="7920"/>
            <w:shd w:fill="1F4E79" w:val="clear"/>
          </w:tcPr>
          <w:p>
            <w:pPr>
              <w:jc w:val="center"/>
            </w:pPr>
            <w:r/>
            <w:r>
              <w:rPr>
                <w:rFonts w:ascii="Calibri" w:hAnsi="Calibri"/>
                <w:b/>
                <w:i w:val="0"/>
                <w:color w:val="FFFFFF"/>
                <w:sz w:val="22"/>
                <w:u w:val="none"/>
              </w:rPr>
              <w:t>Accommodations / Modifications</w:t>
            </w:r>
          </w:p>
        </w:tc>
      </w:tr>
      <w:tr>
        <w:tc>
          <w:tcPr>
            <w:tcW w:type="dxa" w:w="2160"/>
          </w:tcPr>
          <w:p>
            <w:r/>
            <w:r>
              <w:rPr>
                <w:rFonts w:ascii="Calibri" w:hAnsi="Calibri"/>
                <w:b w:val="0"/>
                <w:i w:val="0"/>
                <w:color w:val="000000"/>
                <w:sz w:val="22"/>
                <w:u w:val="none"/>
              </w:rPr>
              <w:t>Approaching</w:t>
            </w:r>
          </w:p>
        </w:tc>
        <w:tc>
          <w:tcPr>
            <w:tcW w:type="dxa" w:w="7920"/>
          </w:tcPr>
          <w:p>
            <w:r/>
            <w:r>
              <w:rPr>
                <w:rFonts w:ascii="Calibri" w:hAnsi="Calibri"/>
                <w:b w:val="0"/>
                <w:i w:val="0"/>
                <w:color w:val="000000"/>
                <w:sz w:val="22"/>
                <w:u w:val="none"/>
              </w:rPr>
              <w:t>Provide a flowchart decision tree: 'Is any component magnetic? If yes, start with a magnet.' Guide students through the separation sequence step-by-step with prompts.</w:t>
            </w:r>
          </w:p>
        </w:tc>
      </w:tr>
      <w:tr>
        <w:tc>
          <w:tcPr>
            <w:tcW w:type="dxa" w:w="2160"/>
            <w:shd w:fill="F2F2F2" w:val="clear"/>
          </w:tcPr>
          <w:p>
            <w:r/>
            <w:r>
              <w:rPr>
                <w:rFonts w:ascii="Calibri" w:hAnsi="Calibri"/>
                <w:b w:val="0"/>
                <w:i w:val="0"/>
                <w:color w:val="000000"/>
                <w:sz w:val="22"/>
                <w:u w:val="none"/>
              </w:rPr>
              <w:t>On-Level</w:t>
            </w:r>
          </w:p>
        </w:tc>
        <w:tc>
          <w:tcPr>
            <w:tcW w:type="dxa" w:w="7920"/>
            <w:shd w:fill="F2F2F2" w:val="clear"/>
          </w:tcPr>
          <w:p>
            <w:r/>
            <w:r>
              <w:rPr>
                <w:rFonts w:ascii="Calibri" w:hAnsi="Calibri"/>
                <w:b w:val="0"/>
                <w:i w:val="0"/>
                <w:color w:val="000000"/>
                <w:sz w:val="22"/>
                <w:u w:val="none"/>
              </w:rPr>
              <w:t>Complete the separation challenge with the planning whiteboard and reference sheet as designed.</w:t>
            </w:r>
          </w:p>
        </w:tc>
      </w:tr>
      <w:tr>
        <w:tc>
          <w:tcPr>
            <w:tcW w:type="dxa" w:w="2160"/>
          </w:tcPr>
          <w:p>
            <w:r/>
            <w:r>
              <w:rPr>
                <w:rFonts w:ascii="Calibri" w:hAnsi="Calibri"/>
                <w:b w:val="0"/>
                <w:i w:val="0"/>
                <w:color w:val="000000"/>
                <w:sz w:val="22"/>
                <w:u w:val="none"/>
              </w:rPr>
              <w:t>Advanced</w:t>
            </w:r>
          </w:p>
        </w:tc>
        <w:tc>
          <w:tcPr>
            <w:tcW w:type="dxa" w:w="7920"/>
          </w:tcPr>
          <w:p>
            <w:r/>
            <w:r>
              <w:rPr>
                <w:rFonts w:ascii="Calibri" w:hAnsi="Calibri"/>
                <w:b w:val="0"/>
                <w:i w:val="0"/>
                <w:color w:val="000000"/>
                <w:sz w:val="22"/>
                <w:u w:val="none"/>
              </w:rPr>
              <w:t>After completing the separation, students calculate percent recovery for each component and write an error analysis explaining any mass lost.</w:t>
            </w:r>
          </w:p>
        </w:tc>
      </w:tr>
      <w:tr>
        <w:tc>
          <w:tcPr>
            <w:tcW w:type="dxa" w:w="2160"/>
            <w:shd w:fill="F2F2F2" w:val="clear"/>
          </w:tcPr>
          <w:p>
            <w:r/>
            <w:r>
              <w:rPr>
                <w:rFonts w:ascii="Calibri" w:hAnsi="Calibri"/>
                <w:b w:val="0"/>
                <w:i w:val="0"/>
                <w:color w:val="000000"/>
                <w:sz w:val="22"/>
                <w:u w:val="none"/>
              </w:rPr>
              <w:t>ELL</w:t>
            </w:r>
          </w:p>
        </w:tc>
        <w:tc>
          <w:tcPr>
            <w:tcW w:type="dxa" w:w="7920"/>
            <w:shd w:fill="F2F2F2" w:val="clear"/>
          </w:tcPr>
          <w:p>
            <w:r/>
            <w:r>
              <w:rPr>
                <w:rFonts w:ascii="Calibri" w:hAnsi="Calibri"/>
                <w:b w:val="0"/>
                <w:i w:val="0"/>
                <w:color w:val="000000"/>
                <w:sz w:val="22"/>
                <w:u w:val="none"/>
              </w:rPr>
              <w:t>Provide a visual separation techniques chart with labeled diagrams and bilingual descriptions; use sentence starters for the elaborate section.</w:t>
            </w:r>
          </w:p>
        </w:tc>
      </w:tr>
      <w:tr>
        <w:tc>
          <w:tcPr>
            <w:tcW w:type="dxa" w:w="2160"/>
          </w:tcPr>
          <w:p>
            <w:r/>
            <w:r>
              <w:rPr>
                <w:rFonts w:ascii="Calibri" w:hAnsi="Calibri"/>
                <w:b w:val="0"/>
                <w:i w:val="0"/>
                <w:color w:val="000000"/>
                <w:sz w:val="22"/>
                <w:u w:val="none"/>
              </w:rPr>
              <w:t>IEP</w:t>
            </w:r>
          </w:p>
        </w:tc>
        <w:tc>
          <w:tcPr>
            <w:tcW w:type="dxa" w:w="7920"/>
          </w:tcPr>
          <w:p>
            <w:r/>
            <w:r>
              <w:rPr>
                <w:rFonts w:ascii="Calibri" w:hAnsi="Calibri"/>
                <w:b w:val="0"/>
                <w:i w:val="0"/>
                <w:color w:val="000000"/>
                <w:sz w:val="22"/>
                <w:u w:val="none"/>
              </w:rPr>
              <w:t>Pre-printed separation steps that students arrange in order rather than writing from scratch; reduce elaborate section to two scenarios instead of three.</w:t>
            </w:r>
          </w:p>
        </w:tc>
      </w:tr>
    </w:tbl>
    <w:p/>
    <w:p>
      <w:pPr>
        <w:spacing w:before="160" w:after="80"/>
        <w:jc w:val="left"/>
      </w:pPr>
      <w:r>
        <w:rPr>
          <w:rFonts w:ascii="Calibri" w:hAnsi="Calibri"/>
          <w:b/>
          <w:i w:val="0"/>
          <w:color w:val="1F4E79"/>
          <w:sz w:val="24"/>
          <w:u w:val="none"/>
        </w:rPr>
        <w:t>CRSE Connections</w:t>
      </w:r>
    </w:p>
    <w:p>
      <w:pPr>
        <w:spacing w:before="80" w:after="80"/>
        <w:shd w:fill="E2EFDA" w:val="clear"/>
      </w:pPr>
      <w:r>
        <w:rPr>
          <w:rFonts w:ascii="Calibri" w:hAnsi="Calibri"/>
          <w:b/>
          <w:i w:val="0"/>
          <w:color w:val="1F4E79"/>
          <w:sz w:val="22"/>
          <w:u w:val="none"/>
        </w:rPr>
        <w:t xml:space="preserve">Culturally Responsive-Sustaining Education: </w:t>
      </w:r>
      <w:r>
        <w:rPr>
          <w:rFonts w:ascii="Calibri" w:hAnsi="Calibri"/>
          <w:b w:val="0"/>
          <w:i w:val="0"/>
          <w:color w:val="000000"/>
          <w:sz w:val="22"/>
          <w:u w:val="none"/>
        </w:rPr>
        <w:t>Discuss how water purification has been practiced across cultures for thousands of years — ancient Egyptian sand filtration, Ayurvedic copper vessel water treatment, and modern-day challenges with clean water access in communities like Flint, Michigan. Connect separation science to environmental justice.</w:t>
      </w:r>
    </w:p>
    <w:p>
      <w:pPr>
        <w:spacing w:before="160" w:after="80"/>
        <w:jc w:val="left"/>
      </w:pPr>
      <w:r>
        <w:rPr>
          <w:rFonts w:ascii="Calibri" w:hAnsi="Calibri"/>
          <w:b/>
          <w:i w:val="0"/>
          <w:color w:val="1F4E79"/>
          <w:sz w:val="24"/>
          <w:u w:val="none"/>
        </w:rPr>
        <w:t>Hochman Writing Integration</w:t>
      </w:r>
    </w:p>
    <w:p>
      <w:pPr>
        <w:spacing w:before="80" w:after="80"/>
        <w:shd w:fill="D6E4F0" w:val="clear"/>
      </w:pPr>
      <w:r>
        <w:rPr>
          <w:rFonts w:ascii="Calibri" w:hAnsi="Calibri"/>
          <w:b/>
          <w:i w:val="0"/>
          <w:color w:val="1F4E79"/>
          <w:sz w:val="22"/>
          <w:u w:val="none"/>
        </w:rPr>
        <w:t xml:space="preserve">Literacy Activity: </w:t>
      </w:r>
      <w:r>
        <w:rPr>
          <w:rFonts w:ascii="Calibri" w:hAnsi="Calibri"/>
          <w:b w:val="0"/>
          <w:i w:val="0"/>
          <w:color w:val="000000"/>
          <w:sz w:val="22"/>
          <w:u w:val="none"/>
        </w:rPr>
        <w:t>Because/But/So using 'filtration': Filtration can separate sand from salt water because___. Filtration works for insoluble solids, but___. The salt dissolved completely in water, so filtration alone cannot___.</w:t>
      </w:r>
    </w:p>
    <w:sectPr w:rsidR="00FC693F" w:rsidRPr="0006063C" w:rsidSect="00034616">
      <w:footerReference w:type="default" r:id="rId9"/>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1F4E79"/>
        <w:sz w:val="18"/>
      </w:rPr>
      <w:t>Valley Stream Central High School District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