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2: Atomic Structure &amp; the Periodic Table  |  Lesson 17: Periodic Table Organization and Periodic Trends (Day 3 of 3)</w:t>
      </w:r>
    </w:p>
    <w:p>
      <w:pPr>
        <w:spacing w:before="0" w:after="80"/>
        <w:jc w:val="center"/>
      </w:pPr>
      <w:r>
        <w:rPr>
          <w:rFonts w:ascii="Calibri" w:hAnsi="Calibri"/>
          <w:b/>
          <w:i w:val="0"/>
          <w:color w:val="1F4E79"/>
          <w:sz w:val="24"/>
          <w:u w:val="none"/>
        </w:rPr>
        <w:t>Topic: Periodic Trends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student examines data showing that lithium (Li) has an atomic radius of 152 pm, while fluorine (F), in the same period, has an atomic radius of only 64 pm. Both elements are in Period 2. The student claims that fluorine is smaller because it has fewer electrons.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the student's explanation is incorrect because fluorine actually has___ electrons than lithium. The real reason fluorine has a smaller atomic radius is___.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Compare the atomic number, electron configuration, and nuclear charge of lithium and fluorine to explain the trend in atomic radius across Period 2.</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As we move from Li to F across Period 2, the number of protons increases from___ to___, but electrons are added to the same energy level. This means the nuclear charge___ while the shielding___, so the electrons are pulled___, resulting in a___ atomic radius.</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