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17: Periodic Table Organization and Periodic Trends (Day 3 of 3)</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explain how elements are organized on the periodic table and predict trends in atomic radius, ionization energy, and electronegativity across periods and down groups.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explain how elements are organized on the periodic table and predict trends in atomic radius, ionization energy, and electronegativity across periods and down groups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(large wall poster and individual copies)</w:t>
      </w:r>
    </w:p>
    <w:p>
      <w:pPr>
        <w:pStyle w:val="ListBullet"/>
        <w:spacing w:before="20" w:after="20"/>
      </w:pPr>
      <w:r>
        <w:rPr>
          <w:rFonts w:ascii="Calibri" w:hAnsi="Calibri"/>
          <w:b w:val="0"/>
          <w:i w:val="0"/>
          <w:color w:val="000000"/>
          <w:sz w:val="22"/>
          <w:u w:val="none"/>
        </w:rPr>
        <w:t>Periodic trends data set (atomic radius, ionization energy, electronegativity for first 36 elements)</w:t>
      </w:r>
    </w:p>
    <w:p>
      <w:pPr>
        <w:pStyle w:val="ListBullet"/>
        <w:spacing w:before="20" w:after="20"/>
      </w:pPr>
      <w:r>
        <w:rPr>
          <w:rFonts w:ascii="Calibri" w:hAnsi="Calibri"/>
          <w:b w:val="0"/>
          <w:i w:val="0"/>
          <w:color w:val="000000"/>
          <w:sz w:val="22"/>
          <w:u w:val="none"/>
        </w:rPr>
        <w:t>Graph paper or graphing template (printed)</w:t>
      </w:r>
    </w:p>
    <w:p>
      <w:pPr>
        <w:pStyle w:val="ListBullet"/>
        <w:spacing w:before="20" w:after="20"/>
      </w:pPr>
      <w:r>
        <w:rPr>
          <w:rFonts w:ascii="Calibri" w:hAnsi="Calibri"/>
          <w:b w:val="0"/>
          <w:i w:val="0"/>
          <w:color w:val="000000"/>
          <w:sz w:val="22"/>
          <w:u w:val="none"/>
        </w:rPr>
        <w:t>Colored pencils for graphing (3 colors)</w:t>
      </w:r>
    </w:p>
    <w:p>
      <w:pPr>
        <w:pStyle w:val="ListBullet"/>
        <w:spacing w:before="20" w:after="20"/>
      </w:pPr>
      <w:r>
        <w:rPr>
          <w:rFonts w:ascii="Calibri" w:hAnsi="Calibri"/>
          <w:b w:val="0"/>
          <w:i w:val="0"/>
          <w:color w:val="000000"/>
          <w:sz w:val="22"/>
          <w:u w:val="none"/>
        </w:rPr>
        <w:t>Periodic trends summary foldable template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students Mendeleev's original periodic table (1869) and the modern periodic table side by side. Mendeleev organized by atomic mass and left gaps for undiscovered elements. He predicted the properties of 'eka-silicon' (germanium) with remarkable accuracy. Ask: How did organizing elements reveal patterns that allowed predictions?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Data analysis and graphing: Students plot two graphs using provided data. Graph 1: Atomic radius (in pm) vs. atomic number for elements 1-36 (line graph). Graph 2: First ionization energy (in kJ/mol) vs. atomic number for elements 1-36. Students color-code each period on their graphs. In pairs, they answer: What happens to atomic radius across a period? Down a group? What happens to ionization energy across a period? Down a group?</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explains the trends using electron structure. Atomic radius decreases across a period because increasing nuclear charge pulls electrons closer (same energy level, more protons). Atomic radius increases down a group because new energy levels are added. Ionization energy increases across a period (harder to remove an electron from a smaller atom with more nuclear charge) and decreases down a group (outermost electron is farther from the nucleus). Introduce electronegativity as the atom's ability to attract bonding electrons — follows the same trend as ionization energy.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create a periodic trends foldable: three flaps labeled Atomic Radius, Ionization Energy, and Electronegativity. Under each flap, they draw arrows showing the trend direction across periods and down groups, write a one-sentence explanation, and give a specific example comparison (e.g., 'Na has a larger atomic radius than Cl because...').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Rank these elements by atomic radius from smallest to largest: Na, Mg, Al, K. Explain your reasoning. (2) Which has a higher ionization energy, oxygen or sulfur? Why? (3) Why does electronegativity generally increase from left to right across a period?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pre-scaled graph axes with data points partially plotted; include a trends summary card with arrows and one-sentence explanations for reference during the foldable activity.</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graphing, analysis, and foldable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Identify and explain exceptions to the general trends (e.g., why does ionization energy dip from Be to B, or from N to O?) using sublevel electron configuration.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graphing instructions with numbered visual steps; use a bilingual trends summary with diagrams showing 'bigger/smaller' arrows; sentence frames for the foldable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pre-made graphs that students analyze (rather than creating from scratch); reduce foldable to two trends instead of three; allow extended time for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Dmitri Mendeleev (Russia), Julius Lothar Meyer (Germany), and John Newlands (England) — three scientists who independently recognized periodic patterns around the same time. Highlight how scientific discoveries often emerge simultaneously across cultures when the foundational knowledge is ripe, challenging the 'lone genius' narrative.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'Electronegativity': Start with 'Electronegativity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