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3: Chemical Bonding &amp; Molecular Structure</w:t>
        <w:br/>
        <w:t>Lesson 19: Bonding and Structure Unit Review (Day 1 of 2)</w:t>
        <w:br/>
      </w:r>
      <w:r>
        <w:rPr>
          <w:rFonts w:ascii="Calibri" w:hAnsi="Calibri"/>
          <w:b w:val="0"/>
          <w:i/>
          <w:color w:val="D6E4F0"/>
          <w:sz w:val="22"/>
          <w:u w:val="none"/>
        </w:rPr>
        <w:t>PE: HS-PS1-3, HS-PS2-6</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If you could explain one chemistry concept to someone who has never taken the class, which topic from this unit would you choose and why?</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Quick review challenge: Classify each substance as ionic, metallic, molecular, or network covalent based on one clue. (a) Melts at 3500 degrees C, does not conduct. (b) Shiny, malleable, conducts. (c) Melts at 80 degrees C, dissolves in water. (d) Dissolves in water, conducts when dissolved, MP = 1074 degrees C.</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define and identify key concepts related to: analyze an unknown substance's properties and systematically determine its bond type, molecular geometry, polarity, and intermolecular forces</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HS-PS1-3</w:t>
              <w:br/>
              <w:t>HS-PS2-6</w:t>
            </w:r>
          </w:p>
        </w:tc>
        <w:tc>
          <w:tcPr>
            <w:tcW w:type="dxa" w:w="2880"/>
          </w:tcPr>
          <w:p>
            <w:r/>
            <w:r>
              <w:rPr>
                <w:rFonts w:ascii="Calibri" w:hAnsi="Calibri"/>
                <w:b w:val="0"/>
                <w:i w:val="0"/>
                <w:color w:val="000000"/>
                <w:sz w:val="22"/>
                <w:u w:val="none"/>
              </w:rPr>
              <w:t>Engaging in Argument from Evidence</w:t>
              <w:br/>
              <w:t>Constructing Explanations and Designing Solutions</w:t>
            </w:r>
          </w:p>
        </w:tc>
        <w:tc>
          <w:tcPr>
            <w:tcW w:type="dxa" w:w="2160"/>
          </w:tcPr>
          <w:p>
            <w:r/>
            <w:r>
              <w:rPr>
                <w:rFonts w:ascii="Calibri" w:hAnsi="Calibri"/>
                <w:b w:val="0"/>
                <w:i w:val="0"/>
                <w:color w:val="000000"/>
                <w:sz w:val="22"/>
                <w:u w:val="none"/>
              </w:rPr>
              <w:t>Structure and Function</w:t>
              <w:br/>
              <w:t>Cause and Effect</w:t>
            </w:r>
          </w:p>
        </w:tc>
        <w:tc>
          <w:tcPr>
            <w:tcW w:type="dxa" w:w="3600"/>
          </w:tcPr>
          <w:p>
            <w:r/>
            <w:r>
              <w:rPr>
                <w:rFonts w:ascii="Calibri" w:hAnsi="Calibri"/>
                <w:b w:val="0"/>
                <w:i w:val="0"/>
                <w:color w:val="000000"/>
                <w:sz w:val="22"/>
                <w:u w:val="none"/>
              </w:rPr>
              <w:t>PS1.A: Structure and Properties of Matter</w:t>
              <w:br/>
              <w:t>PS2.B: Types of Interactions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Unit 3 review packet (printed)</w:t>
      </w:r>
    </w:p>
    <w:p>
      <w:pPr>
        <w:pStyle w:val="ListBullet"/>
        <w:spacing w:before="20" w:after="20"/>
      </w:pPr>
      <w:r>
        <w:rPr>
          <w:rFonts w:ascii="Calibri" w:hAnsi="Calibri"/>
          <w:b w:val="0"/>
          <w:i w:val="0"/>
          <w:color w:val="000000"/>
          <w:sz w:val="22"/>
          <w:u w:val="none"/>
        </w:rPr>
        <w:t>Whiteboard and markers per student</w:t>
      </w:r>
    </w:p>
    <w:p>
      <w:pPr>
        <w:pStyle w:val="ListBullet"/>
        <w:spacing w:before="20" w:after="20"/>
      </w:pPr>
      <w:r>
        <w:rPr>
          <w:rFonts w:ascii="Calibri" w:hAnsi="Calibri"/>
          <w:b w:val="0"/>
          <w:i w:val="0"/>
          <w:color w:val="000000"/>
          <w:sz w:val="22"/>
          <w:u w:val="none"/>
        </w:rPr>
        <w:t>Substance mystery challenge cards (4 sets for group rotation)</w:t>
      </w:r>
    </w:p>
    <w:p>
      <w:pPr>
        <w:pStyle w:val="ListBullet"/>
        <w:spacing w:before="20" w:after="20"/>
      </w:pPr>
      <w:r>
        <w:rPr>
          <w:rFonts w:ascii="Calibri" w:hAnsi="Calibri"/>
          <w:b w:val="0"/>
          <w:i w:val="0"/>
          <w:color w:val="000000"/>
          <w:sz w:val="22"/>
          <w:u w:val="none"/>
        </w:rPr>
        <w:t>Reference table and periodic table (1 each per student)</w:t>
      </w:r>
    </w:p>
    <w:p>
      <w:pPr>
        <w:pStyle w:val="ListBullet"/>
        <w:spacing w:before="20" w:after="20"/>
      </w:pPr>
      <w:r>
        <w:rPr>
          <w:rFonts w:ascii="Calibri" w:hAnsi="Calibri"/>
          <w:b w:val="0"/>
          <w:i w:val="0"/>
          <w:color w:val="000000"/>
          <w:sz w:val="22"/>
          <w:u w:val="none"/>
        </w:rPr>
        <w:t>Bonding concept map template (printed)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Introduce the phenomenon and driving question. Students make initial observations and predictions. Topic focus: Bonding and Structure Unit Review. Present the 'Bonding Detective' challenge: A forensic scientist receives four unknown white powders from a crime scene. Using only property tests (melting point, conductivity, solubility, crystal structure), they must determine what each substance is. Today students will use the same logic to review all bonding concepts.</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Hands-on exploration or guided investigation to build initial understanding. Topic focus: Bonding and Structure Unit Review. Station rotation review (4 stations, 3 min each): Station 1 — Lewis structure and geometry prediction for 3 molecules. Station 2 — Bond type classification (ionic, polar covalent, nonpolar covalent) for 6 atom pairs using electronegativity. Station 3 — IMF identification and boiling point ranking for 4 substances. Station 4 — Property-to-bonding deduction for 3 unknown substances.</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Teacher-led instruction introducing key vocabulary and foundational concepts. Topic focus: Bonding and Structure Unit Review. Class review and discussion of commonly confused concepts: (1) Bond polarity vs. molecular polarity (CO2 has polar bonds but is nonpolar). (2) IMFs vs. intramolecular bonds (boiling breaks IMFs, not covalent bonds). (3) Why ionic compounds have high melting points but molecular compounds do not (lattice of ions vs. weak IMFs between molecules). Address student questions from station work.</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Hochman writing activity connecting new vocabulary to prior knowledge. Topic focus: Bonding and Structure Unit Review. Concept map construction: Students create a concept map connecting all major terms from the unit: ionic bond, covalent bond, metallic bond, Lewis structure, VSEPR, molecular geometry, polarity, LDFs, dipole-dipole, hydrogen bonding, melting point, conductivity, solubility. They must use linking phrases to show relationships (e.g., 'determines' 'is caused by' 'leads to').</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Quick formative check — exit ticket with 2-3 questions on key definitions and concepts. Topic focus: Bonding and Structure Unit Review. Regents-style practice cluster: Students answer a 5-question cluster similar to the smartphone chemistry sample cluster, combining bonding, polarity, IMFs, and property predictions around a real-world phenomenon (materials in a water bottle: HDPE plastic, glass, stainless steel, and the water inside).</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a partially completed concept map with key terms placed and some linking phrases filled in; include a unit summary reference sheet organized by topic for use during stations.</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station rotation, concept map, and practice cluster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After completing the practice cluster, students write their own 3-question cluster around a new phenomenon (e.g., why does hand sanitizer evaporate so quickly? Why is stainless steel used for surgical tools?) and include an answer key.</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concept map terms as pre-cut cards that students arrange and connect with arrows; include bilingual linking phrases; allow verbal explanation of concept map relationships.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Reduce stations from 4 to 3 with extended time; provide a completed concept map as a study reference; break the practice cluster into individual questions with reference materials available.</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Revisit the unit's anchoring phenomenon through a global lens: Why do different cultures use different materials for cooking vessels? Clay pots (network covalent silicates), cast iron (metallic), copper (metallic), and ceramic (ionic/covalent network) all have different heat conductivity and reactivity with food. Discuss how traditional knowledge about materials aligns with chemistry concepts.</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Kernel sentence expansion using concepts from the entire unit. Start with: 'Structure determines properties.' Students expand: 'At the particulate level, the type of bonding between atoms — whether ionic, covalent, or metallic — and the intermolecular forces between molecules determine the bulk properties of a substance, including its melting point, conductivity, and solubility in water.'</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