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20: Bonding and Structure Unit Review (Day 2 of 2)</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analyze an unknown substance's properties and systematically determine its bond type, molecular geometry, polarity, and intermolecular forces.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analyze an unknown substance's properties and systematically determine its bond type, molecular geometry, polarity, and intermolecular forces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Engaging in Argument from Evidence</w:t>
              <w:br/>
              <w:t>Constructing Explanations and Designing Solutions</w:t>
            </w:r>
          </w:p>
        </w:tc>
        <w:tc>
          <w:tcPr>
            <w:tcW w:type="dxa" w:w="2160"/>
          </w:tcPr>
          <w:p>
            <w:r/>
            <w:r>
              <w:rPr>
                <w:rFonts w:ascii="Calibri" w:hAnsi="Calibri"/>
                <w:b w:val="0"/>
                <w:i w:val="0"/>
                <w:color w:val="000000"/>
                <w:sz w:val="22"/>
                <w:u w:val="none"/>
              </w:rPr>
              <w:t>Structure and Function</w:t>
              <w:br/>
              <w:t>Cause and Effect</w:t>
            </w:r>
          </w:p>
        </w:tc>
        <w:tc>
          <w:tcPr>
            <w:tcW w:type="dxa" w:w="3600"/>
          </w:tcPr>
          <w:p>
            <w:r/>
            <w:r>
              <w:rPr>
                <w:rFonts w:ascii="Calibri" w:hAnsi="Calibri"/>
                <w:b w:val="0"/>
                <w:i w:val="0"/>
                <w:color w:val="000000"/>
                <w:sz w:val="22"/>
                <w:u w:val="none"/>
              </w:rPr>
              <w:t>PS1.A: Structure and Properties of Matter</w:t>
              <w:b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Unit 3 review packet (printed)</w:t>
      </w:r>
    </w:p>
    <w:p>
      <w:pPr>
        <w:pStyle w:val="ListBullet"/>
        <w:spacing w:before="20" w:after="20"/>
      </w:pPr>
      <w:r>
        <w:rPr>
          <w:rFonts w:ascii="Calibri" w:hAnsi="Calibri"/>
          <w:b w:val="0"/>
          <w:i w:val="0"/>
          <w:color w:val="000000"/>
          <w:sz w:val="22"/>
          <w:u w:val="none"/>
        </w:rPr>
        <w:t>Whiteboard and markers per student</w:t>
      </w:r>
    </w:p>
    <w:p>
      <w:pPr>
        <w:pStyle w:val="ListBullet"/>
        <w:spacing w:before="20" w:after="20"/>
      </w:pPr>
      <w:r>
        <w:rPr>
          <w:rFonts w:ascii="Calibri" w:hAnsi="Calibri"/>
          <w:b w:val="0"/>
          <w:i w:val="0"/>
          <w:color w:val="000000"/>
          <w:sz w:val="22"/>
          <w:u w:val="none"/>
        </w:rPr>
        <w:t>Substance mystery challenge cards (4 sets for group rotation)</w:t>
      </w:r>
    </w:p>
    <w:p>
      <w:pPr>
        <w:pStyle w:val="ListBullet"/>
        <w:spacing w:before="20" w:after="20"/>
      </w:pPr>
      <w:r>
        <w:rPr>
          <w:rFonts w:ascii="Calibri" w:hAnsi="Calibri"/>
          <w:b w:val="0"/>
          <w:i w:val="0"/>
          <w:color w:val="000000"/>
          <w:sz w:val="22"/>
          <w:u w:val="none"/>
        </w:rPr>
        <w:t>Reference table and periodic table (1 each per student)</w:t>
      </w:r>
    </w:p>
    <w:p>
      <w:pPr>
        <w:pStyle w:val="ListBullet"/>
        <w:spacing w:before="20" w:after="20"/>
      </w:pPr>
      <w:r>
        <w:rPr>
          <w:rFonts w:ascii="Calibri" w:hAnsi="Calibri"/>
          <w:b w:val="0"/>
          <w:i w:val="0"/>
          <w:color w:val="000000"/>
          <w:sz w:val="22"/>
          <w:u w:val="none"/>
        </w:rPr>
        <w:t>Bonding concept map template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Present the 'Bonding Detective' challenge: A forensic scientist receives four unknown white powders from a crime scene. Using only property tests (melting point, conductivity, solubility, crystal structure), they must determine what each substance is. Today students will use the same logic to review all bonding concepts.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Station rotation review (4 stations, 3 min each): Station 1 — Lewis structure and geometry prediction for 3 molecules. Station 2 — Bond type classification (ionic, polar covalent, nonpolar covalent) for 6 atom pairs using electronegativity. Station 3 — IMF identification and boiling point ranking for 4 substances. Station 4 — Property-to-bonding deduction for 3 unknown substances.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Class review and discussion of commonly confused concepts: (1) Bond polarity vs. molecular polarity (CO2 has polar bonds but is nonpolar). (2) IMFs vs. intramolecular bonds (boiling breaks IMFs, not covalent bonds). (3) Why ionic compounds have high melting points but molecular compounds do not (lattice of ions vs. weak IMFs between molecules). Address student questions from station work.</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Concept map construction: Students create a concept map connecting all major terms from the unit: ionic bond, covalent bond, metallic bond, Lewis structure, VSEPR, molecular geometry, polarity, LDFs, dipole-dipole, hydrogen bonding, melting point, conductivity, solubility. They must use linking phrases to show relationships (e.g., 'determines' 'is caused by' 'leads to').</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Regents-style practice cluster: Students answer a 5-question cluster similar to the smartphone chemistry sample cluster, combining bonding, polarity, IMFs, and property predictions around a real-world phenomenon (materials in a water bottle: HDPE plastic, glass, stainless steel, and the water inside).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partially completed concept map with key terms placed and some linking phrases filled in; include a unit summary reference sheet organized by topic for use during stations.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station rotation, concept map, and practice cluster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After completing the practice cluster, students write their own 3-question cluster around a new phenomenon (e.g., why does hand sanitizer evaporate so quickly? Why is stainless steel used for surgical tools?) and include an answer key.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concept map terms as pre-cut cards that students arrange and connect with arrows; include bilingual linking phrases; allow verbal explanation of concept map relationships.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stations from 4 to 3 with extended time; provide a completed concept map as a study reference; break the practice cluster into individual questions with reference materials available.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Revisit the unit's anchoring phenomenon through a global lens: Why do different cultures use different materials for cooking vessels? Clay pots (network covalent silicates), cast iron (metallic), copper (metallic), and ceramic (ionic/covalent network) all have different heat conductivity and reactivity with food. Discuss how traditional knowledge about materials aligns with chemistry concepts.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'Phenomenon': Start with 'Phenomenon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