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Student Notes</w:t>
      </w:r>
    </w:p>
    <w:p>
      <w:pPr>
        <w:spacing w:before="0" w:after="80"/>
        <w:jc w:val="center"/>
      </w:pPr>
      <w:r>
        <w:rPr>
          <w:rFonts w:ascii="Calibri" w:hAnsi="Calibri"/>
          <w:b w:val="0"/>
          <w:i/>
          <w:color w:val="1F4E79"/>
          <w:sz w:val="22"/>
          <w:u w:val="none"/>
        </w:rPr>
        <w:t>Unit 3: Chemical Bonding &amp; Molecular Structure  |  Lesson 8: Metallic Bonding and Bond Type Comparison (Day 2 of 2)</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20" w:after="120"/>
        <w:shd w:fill="D6E4F0" w:val="clear"/>
      </w:pPr>
      <w:r>
        <w:rPr>
          <w:rFonts w:ascii="Calibri" w:hAnsi="Calibri"/>
          <w:b/>
          <w:i w:val="0"/>
          <w:color w:val="1F4E79"/>
          <w:sz w:val="22"/>
          <w:u w:val="none"/>
        </w:rPr>
        <w:t xml:space="preserve">Learning Target: </w:t>
      </w:r>
      <w:r>
        <w:rPr>
          <w:rFonts w:ascii="Calibri" w:hAnsi="Calibri"/>
          <w:b w:val="0"/>
          <w:i w:val="0"/>
          <w:color w:val="000000"/>
          <w:sz w:val="22"/>
          <w:u w:val="none"/>
        </w:rPr>
        <w:t>At the end of 42 minutes I can apply and analyze my understanding to describe the sea of electrons model of metallic bonding and compare the properties of ionic, covalent, and metallic substances based on their bonding type</w:t>
      </w:r>
    </w:p>
    <w:p>
      <w:pPr>
        <w:spacing w:before="160" w:after="80"/>
        <w:jc w:val="left"/>
      </w:pPr>
      <w:r>
        <w:rPr>
          <w:rFonts w:ascii="Calibri" w:hAnsi="Calibri"/>
          <w:b/>
          <w:i w:val="0"/>
          <w:color w:val="1F4E79"/>
          <w:sz w:val="24"/>
          <w:u w:val="none"/>
        </w:rPr>
        <w:t>Key Vocabulary</w:t>
      </w:r>
    </w:p>
    <w:tbl>
      <w:tblPr>
        <w:tblStyle w:val="TableGrid"/>
        <w:tblW w:type="auto" w:w="0"/>
        <w:jc w:val="center"/>
        <w:tblLook w:firstColumn="1" w:firstRow="1" w:lastColumn="0" w:lastRow="0" w:noHBand="0" w:noVBand="1" w:val="04A0"/>
      </w:tblPr>
      <w:tblGrid>
        <w:gridCol w:w="5040"/>
        <w:gridCol w:w="5040"/>
      </w:tblGrid>
      <w:tr>
        <w:tc>
          <w:tcPr>
            <w:tcW w:type="dxa" w:w="2880"/>
            <w:shd w:fill="1F4E79" w:val="clear"/>
          </w:tcPr>
          <w:p>
            <w:pPr>
              <w:jc w:val="center"/>
            </w:pPr>
            <w:r/>
            <w:r>
              <w:rPr>
                <w:rFonts w:ascii="Calibri" w:hAnsi="Calibri"/>
                <w:b/>
                <w:i w:val="0"/>
                <w:color w:val="FFFFFF"/>
                <w:sz w:val="22"/>
                <w:u w:val="none"/>
              </w:rPr>
              <w:t>Term</w:t>
            </w:r>
          </w:p>
        </w:tc>
        <w:tc>
          <w:tcPr>
            <w:tcW w:type="dxa" w:w="7200"/>
            <w:shd w:fill="1F4E79" w:val="clear"/>
          </w:tcPr>
          <w:p>
            <w:pPr>
              <w:jc w:val="center"/>
            </w:pPr>
            <w:r/>
            <w:r>
              <w:rPr>
                <w:rFonts w:ascii="Calibri" w:hAnsi="Calibri"/>
                <w:b/>
                <w:i w:val="0"/>
                <w:color w:val="FFFFFF"/>
                <w:sz w:val="22"/>
                <w:u w:val="none"/>
              </w:rPr>
              <w:t>Definition (fill in the blanks)</w:t>
            </w:r>
          </w:p>
        </w:tc>
      </w:tr>
      <w:tr>
        <w:tc>
          <w:tcPr>
            <w:tcW w:type="dxa" w:w="2880"/>
          </w:tcPr>
          <w:p>
            <w:r/>
            <w:r>
              <w:rPr>
                <w:rFonts w:ascii="Calibri" w:hAnsi="Calibri"/>
                <w:b w:val="0"/>
                <w:i w:val="0"/>
                <w:color w:val="000000"/>
                <w:sz w:val="22"/>
                <w:u w:val="none"/>
              </w:rPr>
              <w:t>Delocalized Electrons</w:t>
            </w:r>
          </w:p>
        </w:tc>
        <w:tc>
          <w:tcPr>
            <w:tcW w:type="dxa" w:w="7200"/>
          </w:tcPr>
          <w:p>
            <w:r/>
            <w:r>
              <w:rPr>
                <w:rFonts w:ascii="Calibri" w:hAnsi="Calibri"/>
                <w:b w:val="0"/>
                <w:i w:val="0"/>
                <w:color w:val="000000"/>
                <w:sz w:val="22"/>
                <w:u w:val="none"/>
              </w:rPr>
              <w:t>Valence electrons in ________ metallic bond ________ are free ________ move throughout ________ entire metal ________ rather than ________ attached to ________ atoms</w:t>
            </w:r>
          </w:p>
        </w:tc>
      </w:tr>
      <w:tr>
        <w:tc>
          <w:tcPr>
            <w:tcW w:type="dxa" w:w="2880"/>
            <w:shd w:fill="F2F2F2" w:val="clear"/>
          </w:tcPr>
          <w:p>
            <w:r/>
            <w:r>
              <w:rPr>
                <w:rFonts w:ascii="Calibri" w:hAnsi="Calibri"/>
                <w:b w:val="0"/>
                <w:i w:val="0"/>
                <w:color w:val="000000"/>
                <w:sz w:val="22"/>
                <w:u w:val="none"/>
              </w:rPr>
              <w:t>Ductile</w:t>
            </w:r>
          </w:p>
        </w:tc>
        <w:tc>
          <w:tcPr>
            <w:tcW w:type="dxa" w:w="7200"/>
            <w:shd w:fill="F2F2F2" w:val="clear"/>
          </w:tcPr>
          <w:p>
            <w:r/>
            <w:r>
              <w:rPr>
                <w:rFonts w:ascii="Calibri" w:hAnsi="Calibri"/>
                <w:b w:val="0"/>
                <w:i w:val="0"/>
                <w:color w:val="000000"/>
                <w:sz w:val="22"/>
                <w:u w:val="none"/>
              </w:rPr>
              <w:t>The ability of ________ material to ________ drawn into ________ wires without ________</w:t>
            </w:r>
          </w:p>
        </w:tc>
      </w:tr>
    </w:tbl>
    <w:p/>
    <w:p>
      <w:pPr>
        <w:spacing w:before="160" w:after="80"/>
        <w:jc w:val="left"/>
      </w:pPr>
      <w:r>
        <w:rPr>
          <w:rFonts w:ascii="Calibri" w:hAnsi="Calibri"/>
          <w:b/>
          <w:i w:val="0"/>
          <w:color w:val="1F4E79"/>
          <w:sz w:val="24"/>
          <w:u w:val="none"/>
        </w:rPr>
        <w:t>Guided Notes</w:t>
      </w:r>
    </w:p>
    <w:p>
      <w:pPr>
        <w:spacing w:before="120" w:after="80"/>
        <w:jc w:val="left"/>
      </w:pPr>
      <w:r>
        <w:rPr>
          <w:rFonts w:ascii="Calibri" w:hAnsi="Calibri"/>
          <w:b/>
          <w:i w:val="0"/>
          <w:color w:val="000000"/>
          <w:sz w:val="22"/>
          <w:u w:val="none"/>
        </w:rPr>
        <w:t>Section 2: Properties of Metals Explained by Metallic Bonding</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120" w:after="80"/>
        <w:jc w:val="left"/>
      </w:pPr>
      <w:r>
        <w:rPr>
          <w:rFonts w:ascii="Calibri" w:hAnsi="Calibri"/>
          <w:b/>
          <w:i w:val="0"/>
          <w:color w:val="000000"/>
          <w:sz w:val="22"/>
          <w:u w:val="none"/>
        </w:rPr>
        <w:t>Section 4: Bond Type and Bulk Properties — Connecting Structure to Function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Summary</w:t>
      </w:r>
    </w:p>
    <w:p>
      <w:pPr>
        <w:spacing w:before="80"/>
        <w:shd w:fill="E2EFDA" w:val="clear"/>
      </w:pPr>
      <w:r>
        <w:rPr>
          <w:rFonts w:ascii="Calibri" w:hAnsi="Calibri"/>
          <w:b w:val="0"/>
          <w:i/>
          <w:color w:val="000000"/>
          <w:sz w:val="22"/>
          <w:u w:val="none"/>
        </w:rPr>
        <w:t xml:space="preserve">Complete the Because/But/So sentence frame about </w:t>
      </w:r>
      <w:r>
        <w:rPr>
          <w:rFonts w:ascii="Calibri" w:hAnsi="Calibri"/>
          <w:b/>
          <w:i/>
          <w:color w:val="000000"/>
          <w:sz w:val="22"/>
          <w:u w:val="none"/>
        </w:rPr>
        <w:t>Metallic Bonding and Bond Type Comparison (Day 2 of 2):</w:t>
      </w:r>
    </w:p>
    <w:p>
      <w:pPr>
        <w:spacing w:before="80" w:after="40"/>
      </w:pPr>
      <w:r>
        <w:rPr>
          <w:rFonts w:ascii="Calibri" w:hAnsi="Calibri"/>
          <w:b/>
          <w:i w:val="0"/>
          <w:color w:val="000000"/>
          <w:sz w:val="22"/>
          <w:u w:val="none"/>
        </w:rPr>
        <w:t xml:space="preserve">Metallic Bonding and Bond Type Comparison (Day 2 of 2) is important because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Scientists study metallic bonding and bond type comparison (day 2 of 2), but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Understanding metallic bonding and bond type comparison (day 2 of 2) helps us, so </w:t>
      </w:r>
      <w:r>
        <w:rPr>
          <w:rFonts w:ascii="Calibri" w:hAnsi="Calibri"/>
          <w:b w:val="0"/>
          <w:i w:val="0"/>
          <w:color w:val="BBBBBB"/>
          <w:sz w:val="22"/>
          <w:u w:val="none"/>
        </w:rPr>
        <w:t>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