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Unit 4: Chemical Formulas, Nomenclature &amp; the Mole</w:t>
      </w:r>
    </w:p>
    <w:p>
      <w:pPr>
        <w:spacing w:before="0" w:after="160"/>
        <w:jc w:val="center"/>
      </w:pPr>
      <w:r>
        <w:rPr>
          <w:rFonts w:ascii="Calibri" w:hAnsi="Calibri"/>
          <w:b w:val="0"/>
          <w:i/>
          <w:color w:val="1F4E79"/>
          <w:sz w:val="22"/>
          <w:u w:val="none"/>
        </w:rPr>
        <w:t>Duration: 18 days  |  Performance Expectations: HS-PS1-7</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A pharmaceutical company must produce exactly 500 mg tablets of aspirin (C9H8O4). How do chemists count atoms and molecules that are too small to see, and how do they ensure each tablet contains the correct amount?</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do we name and write formulas for chemical compounds?</w:t>
      </w:r>
    </w:p>
    <w:p>
      <w:pPr>
        <w:pStyle w:val="ListBullet"/>
        <w:spacing w:before="20" w:after="20"/>
      </w:pPr>
      <w:r>
        <w:rPr>
          <w:rFonts w:ascii="Calibri" w:hAnsi="Calibri"/>
          <w:b w:val="0"/>
          <w:i w:val="0"/>
          <w:color w:val="000000"/>
          <w:sz w:val="22"/>
          <w:u w:val="none"/>
        </w:rPr>
        <w:t>How can we count particles too small to see using the mole concept?</w:t>
      </w:r>
    </w:p>
    <w:p>
      <w:pPr>
        <w:pStyle w:val="ListBullet"/>
        <w:spacing w:before="20" w:after="20"/>
      </w:pPr>
      <w:r>
        <w:rPr>
          <w:rFonts w:ascii="Calibri" w:hAnsi="Calibri"/>
          <w:b w:val="0"/>
          <w:i w:val="0"/>
          <w:color w:val="000000"/>
          <w:sz w:val="22"/>
          <w:u w:val="none"/>
        </w:rPr>
        <w:t>How do we determine the chemical formula of a compound from experimental data?</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Writing Chemical Formulas for Ionic Compounds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write correct chemical formulas for ionic co...</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Writing Chemical Formulas for Ionic Compounds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write correct chemical formulas for ionic compounds, inclu...</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Writing Chemical Formulas for Ionic Compounds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write correct chemical formulas for ionic compou...</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Naming Ionic and Covalent Compounds (IUPAC Nomenclature)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name ionic compounds (including those with p...</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Naming Ionic and Covalent Compounds (IUPAC Nomenclature)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name ionic compounds (including those with polyatomic ions...</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Naming Ionic and Covalent Compounds (IUPAC Nomenclature)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name ionic compounds (including those with polya...</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The Mole Concept and Avogadro's Number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explain what a mole is, use Avogadro's numbe...</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The Mole Concept and Avogadro's Number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explain what a mole is, use Avogadro's number to co...</w:t>
            </w:r>
          </w:p>
        </w:tc>
      </w:tr>
      <w:tr>
        <w:tc>
          <w:tcPr>
            <w:tcW w:type="dxa" w:w="1008"/>
          </w:tcPr>
          <w:p>
            <w:r/>
            <w:r>
              <w:rPr>
                <w:rFonts w:ascii="Calibri" w:hAnsi="Calibri"/>
                <w:b w:val="0"/>
                <w:i w:val="0"/>
                <w:color w:val="000000"/>
                <w:sz w:val="22"/>
                <w:u w:val="none"/>
              </w:rPr>
              <w:t>9</w:t>
            </w:r>
          </w:p>
        </w:tc>
        <w:tc>
          <w:tcPr>
            <w:tcW w:type="dxa" w:w="2880"/>
          </w:tcPr>
          <w:p>
            <w:r/>
            <w:r>
              <w:rPr>
                <w:rFonts w:ascii="Calibri" w:hAnsi="Calibri"/>
                <w:b w:val="0"/>
                <w:i w:val="0"/>
                <w:color w:val="000000"/>
                <w:sz w:val="22"/>
                <w:u w:val="none"/>
              </w:rPr>
              <w:t>Molar Mass and Mole-Mass Conversions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calculate the molar mass of a compound from ...</w:t>
            </w:r>
          </w:p>
        </w:tc>
      </w:tr>
      <w:tr>
        <w:tc>
          <w:tcPr>
            <w:tcW w:type="dxa" w:w="1008"/>
            <w:shd w:fill="F2F2F2" w:val="clear"/>
          </w:tcPr>
          <w:p>
            <w:r/>
            <w:r>
              <w:rPr>
                <w:rFonts w:ascii="Calibri" w:hAnsi="Calibri"/>
                <w:b w:val="0"/>
                <w:i w:val="0"/>
                <w:color w:val="000000"/>
                <w:sz w:val="22"/>
                <w:u w:val="none"/>
              </w:rPr>
              <w:t>10</w:t>
            </w:r>
          </w:p>
        </w:tc>
        <w:tc>
          <w:tcPr>
            <w:tcW w:type="dxa" w:w="2880"/>
            <w:shd w:fill="F2F2F2" w:val="clear"/>
          </w:tcPr>
          <w:p>
            <w:r/>
            <w:r>
              <w:rPr>
                <w:rFonts w:ascii="Calibri" w:hAnsi="Calibri"/>
                <w:b w:val="0"/>
                <w:i w:val="0"/>
                <w:color w:val="000000"/>
                <w:sz w:val="22"/>
                <w:u w:val="none"/>
              </w:rPr>
              <w:t>Molar Mass and Mole-Mass Conversions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calculate the molar mass of a compound from its for...</w:t>
            </w:r>
          </w:p>
        </w:tc>
      </w:tr>
      <w:tr>
        <w:tc>
          <w:tcPr>
            <w:tcW w:type="dxa" w:w="1008"/>
          </w:tcPr>
          <w:p>
            <w:r/>
            <w:r>
              <w:rPr>
                <w:rFonts w:ascii="Calibri" w:hAnsi="Calibri"/>
                <w:b w:val="0"/>
                <w:i w:val="0"/>
                <w:color w:val="000000"/>
                <w:sz w:val="22"/>
                <w:u w:val="none"/>
              </w:rPr>
              <w:t>11</w:t>
            </w:r>
          </w:p>
        </w:tc>
        <w:tc>
          <w:tcPr>
            <w:tcW w:type="dxa" w:w="2880"/>
          </w:tcPr>
          <w:p>
            <w:r/>
            <w:r>
              <w:rPr>
                <w:rFonts w:ascii="Calibri" w:hAnsi="Calibri"/>
                <w:b w:val="0"/>
                <w:i w:val="0"/>
                <w:color w:val="000000"/>
                <w:sz w:val="22"/>
                <w:u w:val="none"/>
              </w:rPr>
              <w:t>Percent Composition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calculate the percent composition of each el...</w:t>
            </w:r>
          </w:p>
        </w:tc>
      </w:tr>
      <w:tr>
        <w:tc>
          <w:tcPr>
            <w:tcW w:type="dxa" w:w="1008"/>
            <w:shd w:fill="F2F2F2" w:val="clear"/>
          </w:tcPr>
          <w:p>
            <w:r/>
            <w:r>
              <w:rPr>
                <w:rFonts w:ascii="Calibri" w:hAnsi="Calibri"/>
                <w:b w:val="0"/>
                <w:i w:val="0"/>
                <w:color w:val="000000"/>
                <w:sz w:val="22"/>
                <w:u w:val="none"/>
              </w:rPr>
              <w:t>12</w:t>
            </w:r>
          </w:p>
        </w:tc>
        <w:tc>
          <w:tcPr>
            <w:tcW w:type="dxa" w:w="2880"/>
            <w:shd w:fill="F2F2F2" w:val="clear"/>
          </w:tcPr>
          <w:p>
            <w:r/>
            <w:r>
              <w:rPr>
                <w:rFonts w:ascii="Calibri" w:hAnsi="Calibri"/>
                <w:b w:val="0"/>
                <w:i w:val="0"/>
                <w:color w:val="000000"/>
                <w:sz w:val="22"/>
                <w:u w:val="none"/>
              </w:rPr>
              <w:t>Percent Composition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calculate the percent composition of each element i...</w:t>
            </w:r>
          </w:p>
        </w:tc>
      </w:tr>
      <w:tr>
        <w:tc>
          <w:tcPr>
            <w:tcW w:type="dxa" w:w="1008"/>
          </w:tcPr>
          <w:p>
            <w:r/>
            <w:r>
              <w:rPr>
                <w:rFonts w:ascii="Calibri" w:hAnsi="Calibri"/>
                <w:b w:val="0"/>
                <w:i w:val="0"/>
                <w:color w:val="000000"/>
                <w:sz w:val="22"/>
                <w:u w:val="none"/>
              </w:rPr>
              <w:t>13</w:t>
            </w:r>
          </w:p>
        </w:tc>
        <w:tc>
          <w:tcPr>
            <w:tcW w:type="dxa" w:w="2880"/>
          </w:tcPr>
          <w:p>
            <w:r/>
            <w:r>
              <w:rPr>
                <w:rFonts w:ascii="Calibri" w:hAnsi="Calibri"/>
                <w:b w:val="0"/>
                <w:i w:val="0"/>
                <w:color w:val="000000"/>
                <w:sz w:val="22"/>
                <w:u w:val="none"/>
              </w:rPr>
              <w:t>Empirical and Molecular Formulas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determine the empirical formula of a compoun...</w:t>
            </w:r>
          </w:p>
        </w:tc>
      </w:tr>
      <w:tr>
        <w:tc>
          <w:tcPr>
            <w:tcW w:type="dxa" w:w="1008"/>
            <w:shd w:fill="F2F2F2" w:val="clear"/>
          </w:tcPr>
          <w:p>
            <w:r/>
            <w:r>
              <w:rPr>
                <w:rFonts w:ascii="Calibri" w:hAnsi="Calibri"/>
                <w:b w:val="0"/>
                <w:i w:val="0"/>
                <w:color w:val="000000"/>
                <w:sz w:val="22"/>
                <w:u w:val="none"/>
              </w:rPr>
              <w:t>14</w:t>
            </w:r>
          </w:p>
        </w:tc>
        <w:tc>
          <w:tcPr>
            <w:tcW w:type="dxa" w:w="2880"/>
            <w:shd w:fill="F2F2F2" w:val="clear"/>
          </w:tcPr>
          <w:p>
            <w:r/>
            <w:r>
              <w:rPr>
                <w:rFonts w:ascii="Calibri" w:hAnsi="Calibri"/>
                <w:b w:val="0"/>
                <w:i w:val="0"/>
                <w:color w:val="000000"/>
                <w:sz w:val="22"/>
                <w:u w:val="none"/>
              </w:rPr>
              <w:t>Empirical and Molecular Formulas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determine the empirical formula of a compound from percent...</w:t>
            </w:r>
          </w:p>
        </w:tc>
      </w:tr>
      <w:tr>
        <w:tc>
          <w:tcPr>
            <w:tcW w:type="dxa" w:w="1008"/>
          </w:tcPr>
          <w:p>
            <w:r/>
            <w:r>
              <w:rPr>
                <w:rFonts w:ascii="Calibri" w:hAnsi="Calibri"/>
                <w:b w:val="0"/>
                <w:i w:val="0"/>
                <w:color w:val="000000"/>
                <w:sz w:val="22"/>
                <w:u w:val="none"/>
              </w:rPr>
              <w:t>15</w:t>
            </w:r>
          </w:p>
        </w:tc>
        <w:tc>
          <w:tcPr>
            <w:tcW w:type="dxa" w:w="2880"/>
          </w:tcPr>
          <w:p>
            <w:r/>
            <w:r>
              <w:rPr>
                <w:rFonts w:ascii="Calibri" w:hAnsi="Calibri"/>
                <w:b w:val="0"/>
                <w:i w:val="0"/>
                <w:color w:val="000000"/>
                <w:sz w:val="22"/>
                <w:u w:val="none"/>
              </w:rPr>
              <w:t>Empirical and Molecular Formulas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determine the empirical formula of a compound fr...</w:t>
            </w:r>
          </w:p>
        </w:tc>
      </w:tr>
      <w:tr>
        <w:tc>
          <w:tcPr>
            <w:tcW w:type="dxa" w:w="1008"/>
            <w:shd w:fill="F2F2F2" w:val="clear"/>
          </w:tcPr>
          <w:p>
            <w:r/>
            <w:r>
              <w:rPr>
                <w:rFonts w:ascii="Calibri" w:hAnsi="Calibri"/>
                <w:b w:val="0"/>
                <w:i w:val="0"/>
                <w:color w:val="000000"/>
                <w:sz w:val="22"/>
                <w:u w:val="none"/>
              </w:rPr>
              <w:t>16</w:t>
            </w:r>
          </w:p>
        </w:tc>
        <w:tc>
          <w:tcPr>
            <w:tcW w:type="dxa" w:w="2880"/>
            <w:shd w:fill="F2F2F2" w:val="clear"/>
          </w:tcPr>
          <w:p>
            <w:r/>
            <w:r>
              <w:rPr>
                <w:rFonts w:ascii="Calibri" w:hAnsi="Calibri"/>
                <w:b w:val="0"/>
                <w:i w:val="0"/>
                <w:color w:val="000000"/>
                <w:sz w:val="22"/>
                <w:u w:val="none"/>
              </w:rPr>
              <w:t>Unit 4 Review: Formulas, Nomenclature, and the Mole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fluently convert between compound names, for...</w:t>
            </w:r>
          </w:p>
        </w:tc>
      </w:tr>
      <w:tr>
        <w:tc>
          <w:tcPr>
            <w:tcW w:type="dxa" w:w="1008"/>
          </w:tcPr>
          <w:p>
            <w:r/>
            <w:r>
              <w:rPr>
                <w:rFonts w:ascii="Calibri" w:hAnsi="Calibri"/>
                <w:b w:val="0"/>
                <w:i w:val="0"/>
                <w:color w:val="000000"/>
                <w:sz w:val="22"/>
                <w:u w:val="none"/>
              </w:rPr>
              <w:t>17</w:t>
            </w:r>
          </w:p>
        </w:tc>
        <w:tc>
          <w:tcPr>
            <w:tcW w:type="dxa" w:w="2880"/>
          </w:tcPr>
          <w:p>
            <w:r/>
            <w:r>
              <w:rPr>
                <w:rFonts w:ascii="Calibri" w:hAnsi="Calibri"/>
                <w:b w:val="0"/>
                <w:i w:val="0"/>
                <w:color w:val="000000"/>
                <w:sz w:val="22"/>
                <w:u w:val="none"/>
              </w:rPr>
              <w:t>Unit 4 Review: Formulas, Nomenclature, and the Mole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fluently convert between compound names, formulas, moles, ...</w:t>
            </w:r>
          </w:p>
        </w:tc>
      </w:tr>
      <w:tr>
        <w:tc>
          <w:tcPr>
            <w:tcW w:type="dxa" w:w="1008"/>
            <w:shd w:fill="F2F2F2" w:val="clear"/>
          </w:tcPr>
          <w:p>
            <w:r/>
            <w:r>
              <w:rPr>
                <w:rFonts w:ascii="Calibri" w:hAnsi="Calibri"/>
                <w:b w:val="0"/>
                <w:i w:val="0"/>
                <w:color w:val="000000"/>
                <w:sz w:val="22"/>
                <w:u w:val="none"/>
              </w:rPr>
              <w:t>18</w:t>
            </w:r>
          </w:p>
        </w:tc>
        <w:tc>
          <w:tcPr>
            <w:tcW w:type="dxa" w:w="2880"/>
            <w:shd w:fill="F2F2F2" w:val="clear"/>
          </w:tcPr>
          <w:p>
            <w:r/>
            <w:r>
              <w:rPr>
                <w:rFonts w:ascii="Calibri" w:hAnsi="Calibri"/>
                <w:b w:val="0"/>
                <w:i w:val="0"/>
                <w:color w:val="000000"/>
                <w:sz w:val="22"/>
                <w:u w:val="none"/>
              </w:rPr>
              <w:t>Unit 4 Review: Formulas, Nomenclature, and the Mole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fluently convert between compound names, formula...</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Analyzing and Interpreting Data</w:t>
              <w:br/>
              <w:t>Engaging in Argument from Evidence</w:t>
              <w:br/>
              <w:t>Obtaining, Evaluating, and Communicating Information</w:t>
              <w:br/>
              <w:t>Using Mathematics and Computational Thinking</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the role of precise chemical measurement in industries that affect diverse communities — from pharmaceutical manufacturing in developing nations to water quality testing in underserved communities. The unit highlights the contributions of Amedeo Avogadro and modern analytical chemists from diverse backgrounds.</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Nomenclature naming quizzes</w:t>
      </w:r>
    </w:p>
    <w:p>
      <w:pPr>
        <w:pStyle w:val="ListBullet"/>
        <w:spacing w:before="20" w:after="20"/>
      </w:pPr>
      <w:r>
        <w:rPr>
          <w:rFonts w:ascii="Calibri" w:hAnsi="Calibri"/>
          <w:b w:val="0"/>
          <w:i w:val="0"/>
          <w:color w:val="000000"/>
          <w:sz w:val="22"/>
          <w:u w:val="none"/>
        </w:rPr>
        <w:t>Mole conversion practice checks</w:t>
      </w:r>
    </w:p>
    <w:p>
      <w:pPr>
        <w:pStyle w:val="ListBullet"/>
        <w:spacing w:before="20" w:after="20"/>
      </w:pPr>
      <w:r>
        <w:rPr>
          <w:rFonts w:ascii="Calibri" w:hAnsi="Calibri"/>
          <w:b w:val="0"/>
          <w:i w:val="0"/>
          <w:color w:val="000000"/>
          <w:sz w:val="22"/>
          <w:u w:val="none"/>
        </w:rPr>
        <w:t>Percent composition calculations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Nomenclature and Formula Writing Test</w:t>
      </w:r>
    </w:p>
    <w:p>
      <w:pPr>
        <w:pStyle w:val="ListBullet"/>
        <w:spacing w:before="20" w:after="20"/>
      </w:pPr>
      <w:r>
        <w:rPr>
          <w:rFonts w:ascii="Calibri" w:hAnsi="Calibri"/>
          <w:b w:val="0"/>
          <w:i w:val="0"/>
          <w:color w:val="000000"/>
          <w:sz w:val="22"/>
          <w:u w:val="none"/>
        </w:rPr>
        <w:t>Mole Calculations Performance Task</w:t>
      </w:r>
    </w:p>
    <w:p>
      <w:pPr>
        <w:pStyle w:val="ListBullet"/>
        <w:spacing w:before="20" w:after="20"/>
      </w:pPr>
      <w:r>
        <w:rPr>
          <w:rFonts w:ascii="Calibri" w:hAnsi="Calibri"/>
          <w:b w:val="0"/>
          <w:i w:val="0"/>
          <w:color w:val="000000"/>
          <w:sz w:val="22"/>
          <w:u w:val="none"/>
        </w:rPr>
        <w:t>Unit 4 Exam: Formulas, Nomenclature &amp; the Mole</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6: Determining the Empirical Formula of a Hydrate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