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hd w:fill="1F4E79" w:val="clear"/>
        <w:spacing w:before="80" w:after="40"/>
        <w:jc w:val="center"/>
      </w:pPr>
      <w:r>
        <w:rPr>
          <w:rFonts w:ascii="Calibri" w:hAnsi="Calibri"/>
          <w:b/>
          <w:i w:val="0"/>
          <w:color w:val="FFFFFF"/>
          <w:sz w:val="28"/>
          <w:u w:val="none"/>
        </w:rPr>
        <w:t>Chemistry</w:t>
        <w:br/>
      </w:r>
      <w:r>
        <w:rPr>
          <w:rFonts w:ascii="Calibri" w:hAnsi="Calibri"/>
          <w:b/>
          <w:i w:val="0"/>
          <w:color w:val="FFFFFF"/>
          <w:sz w:val="24"/>
          <w:u w:val="none"/>
        </w:rPr>
        <w:t>Unit 6: Energy in Chemical Reactions</w:t>
        <w:br/>
        <w:t>Lesson 2: Exothermic vs. Endothermic Reactions (Day 2 of 2)</w:t>
        <w:br/>
      </w:r>
      <w:r>
        <w:rPr>
          <w:rFonts w:ascii="Calibri" w:hAnsi="Calibri"/>
          <w:b w:val="0"/>
          <w:i/>
          <w:color w:val="D6E4F0"/>
          <w:sz w:val="22"/>
          <w:u w:val="none"/>
        </w:rPr>
        <w:t>PE: HS-PS1-4</w:t>
      </w:r>
    </w:p>
    <w:p>
      <w:pPr>
        <w:spacing w:before="160" w:after="80"/>
        <w:jc w:val="left"/>
      </w:pPr>
      <w:r>
        <w:rPr>
          <w:rFonts w:ascii="Calibri" w:hAnsi="Calibri"/>
          <w:b/>
          <w:i w:val="0"/>
          <w:color w:val="1F4E79"/>
          <w:sz w:val="24"/>
          <w:u w:val="none"/>
        </w:rPr>
        <w:t>Opening Circle (2-3 min)</w:t>
      </w:r>
    </w:p>
    <w:p>
      <w:pPr>
        <w:spacing w:before="80" w:after="80"/>
        <w:shd w:fill="D6E4F0" w:val="clear"/>
      </w:pPr>
      <w:r>
        <w:rPr>
          <w:rFonts w:ascii="Calibri" w:hAnsi="Calibri"/>
          <w:b/>
          <w:i w:val="0"/>
          <w:color w:val="1F4E79"/>
          <w:sz w:val="22"/>
          <w:u w:val="none"/>
        </w:rPr>
        <w:t xml:space="preserve">Community Prompt: </w:t>
      </w:r>
      <w:r>
        <w:rPr>
          <w:rFonts w:ascii="Calibri" w:hAnsi="Calibri"/>
          <w:b w:val="0"/>
          <w:i w:val="0"/>
          <w:color w:val="000000"/>
          <w:sz w:val="22"/>
          <w:u w:val="none"/>
        </w:rPr>
        <w:t>Share one connection you made between yesterday's topic and something in your daily life.</w:t>
      </w:r>
    </w:p>
    <w:p>
      <w:pPr>
        <w:spacing w:before="160" w:after="80"/>
        <w:jc w:val="left"/>
      </w:pPr>
      <w:r>
        <w:rPr>
          <w:rFonts w:ascii="Calibri" w:hAnsi="Calibri"/>
          <w:b/>
          <w:i w:val="0"/>
          <w:color w:val="1F4E79"/>
          <w:sz w:val="24"/>
          <w:u w:val="none"/>
        </w:rPr>
        <w:t>Do Now (3-5 min)</w:t>
      </w:r>
    </w:p>
    <w:p>
      <w:pPr>
        <w:spacing w:before="80" w:after="80"/>
        <w:shd w:fill="E2EFDA" w:val="clear"/>
      </w:pPr>
      <w:r>
        <w:rPr>
          <w:rFonts w:ascii="Calibri" w:hAnsi="Calibri"/>
          <w:b/>
          <w:i w:val="0"/>
          <w:color w:val="1F4E79"/>
          <w:sz w:val="22"/>
          <w:u w:val="none"/>
        </w:rPr>
        <w:t xml:space="preserve">Activity: </w:t>
      </w:r>
      <w:r>
        <w:rPr>
          <w:rFonts w:ascii="Calibri" w:hAnsi="Calibri"/>
          <w:b w:val="0"/>
          <w:i w:val="0"/>
          <w:color w:val="000000"/>
          <w:sz w:val="22"/>
          <w:u w:val="none"/>
        </w:rPr>
        <w:t>Review: Based on yesterday's lesson, explain one key idea from yesterday about how to define and identify key concepts related to: classify a chemical reaction as exothermic or endothermic based on temperature change data and explain the direction of energy flow between the system and surroundings.</w:t>
      </w:r>
    </w:p>
    <w:p>
      <w:pPr>
        <w:spacing w:before="40" w:after="40"/>
        <w:pBdr>
          <w:bottom w:val="single" w:sz="4" w:space="1" w:color="1F4E79"/>
        </w:pBdr>
      </w:pPr>
    </w:p>
    <w:p>
      <w:pPr>
        <w:spacing w:before="120" w:after="120"/>
        <w:jc w:val="left"/>
      </w:pPr>
      <w:r>
        <w:rPr>
          <w:rFonts w:ascii="Calibri" w:hAnsi="Calibri"/>
          <w:b/>
          <w:i w:val="0"/>
          <w:color w:val="1F4E79"/>
          <w:sz w:val="24"/>
          <w:u w:val="none"/>
        </w:rPr>
        <w:t xml:space="preserve">Learning Target: </w:t>
      </w:r>
      <w:r>
        <w:rPr>
          <w:rFonts w:ascii="Calibri" w:hAnsi="Calibri"/>
          <w:b/>
          <w:i w:val="0"/>
          <w:color w:val="000000"/>
          <w:sz w:val="24"/>
          <w:u w:val="none"/>
        </w:rPr>
        <w:t>At the end of 42 minutes I can apply and analyze my understanding to classify a chemical reaction as exothermic or endothermic based on temperature change data and explain the direction of energy flow between the system and surroundings</w:t>
      </w:r>
    </w:p>
    <w:p>
      <w:pPr>
        <w:spacing w:before="40" w:after="40"/>
        <w:pBdr>
          <w:bottom w:val="single" w:sz="4" w:space="1" w:color="1F4E79"/>
        </w:pBdr>
      </w:pPr>
    </w:p>
    <w:p>
      <w:pPr>
        <w:spacing w:before="160" w:after="80"/>
        <w:jc w:val="left"/>
      </w:pPr>
      <w:r>
        <w:rPr>
          <w:rFonts w:ascii="Calibri" w:hAnsi="Calibri"/>
          <w:b/>
          <w:i w:val="0"/>
          <w:color w:val="1F4E79"/>
          <w:sz w:val="24"/>
          <w:u w:val="none"/>
        </w:rPr>
        <w:t>Standards Alignment</w:t>
      </w:r>
    </w:p>
    <w:tbl>
      <w:tblPr>
        <w:tblStyle w:val="TableGrid"/>
        <w:tblW w:type="auto" w:w="0"/>
        <w:jc w:val="center"/>
        <w:tblLook w:firstColumn="1" w:firstRow="1" w:lastColumn="0" w:lastRow="0" w:noHBand="0" w:noVBand="1" w:val="04A0"/>
      </w:tblPr>
      <w:tblGrid>
        <w:gridCol w:w="2520"/>
        <w:gridCol w:w="2520"/>
        <w:gridCol w:w="2520"/>
        <w:gridCol w:w="2520"/>
      </w:tblGrid>
      <w:tr>
        <w:tc>
          <w:tcPr>
            <w:tcW w:type="dxa" w:w="1728"/>
            <w:shd w:fill="1F4E79" w:val="clear"/>
          </w:tcPr>
          <w:p>
            <w:pPr>
              <w:jc w:val="center"/>
            </w:pPr>
            <w:r/>
            <w:r>
              <w:rPr>
                <w:rFonts w:ascii="Calibri" w:hAnsi="Calibri"/>
                <w:b/>
                <w:i w:val="0"/>
                <w:color w:val="FFFFFF"/>
                <w:sz w:val="22"/>
                <w:u w:val="none"/>
              </w:rPr>
              <w:t>PE</w:t>
            </w:r>
          </w:p>
        </w:tc>
        <w:tc>
          <w:tcPr>
            <w:tcW w:type="dxa" w:w="2880"/>
            <w:shd w:fill="1F4E79" w:val="clear"/>
          </w:tcPr>
          <w:p>
            <w:pPr>
              <w:jc w:val="center"/>
            </w:pPr>
            <w:r/>
            <w:r>
              <w:rPr>
                <w:rFonts w:ascii="Calibri" w:hAnsi="Calibri"/>
                <w:b/>
                <w:i w:val="0"/>
                <w:color w:val="FFFFFF"/>
                <w:sz w:val="22"/>
                <w:u w:val="none"/>
              </w:rPr>
              <w:t>SEP</w:t>
            </w:r>
          </w:p>
        </w:tc>
        <w:tc>
          <w:tcPr>
            <w:tcW w:type="dxa" w:w="2160"/>
            <w:shd w:fill="1F4E79" w:val="clear"/>
          </w:tcPr>
          <w:p>
            <w:pPr>
              <w:jc w:val="center"/>
            </w:pPr>
            <w:r/>
            <w:r>
              <w:rPr>
                <w:rFonts w:ascii="Calibri" w:hAnsi="Calibri"/>
                <w:b/>
                <w:i w:val="0"/>
                <w:color w:val="FFFFFF"/>
                <w:sz w:val="22"/>
                <w:u w:val="none"/>
              </w:rPr>
              <w:t>CCC</w:t>
            </w:r>
          </w:p>
        </w:tc>
        <w:tc>
          <w:tcPr>
            <w:tcW w:type="dxa" w:w="3600"/>
            <w:shd w:fill="1F4E79" w:val="clear"/>
          </w:tcPr>
          <w:p>
            <w:pPr>
              <w:jc w:val="center"/>
            </w:pPr>
            <w:r/>
            <w:r>
              <w:rPr>
                <w:rFonts w:ascii="Calibri" w:hAnsi="Calibri"/>
                <w:b/>
                <w:i w:val="0"/>
                <w:color w:val="FFFFFF"/>
                <w:sz w:val="22"/>
                <w:u w:val="none"/>
              </w:rPr>
              <w:t>DCI</w:t>
            </w:r>
          </w:p>
        </w:tc>
      </w:tr>
      <w:tr>
        <w:tc>
          <w:tcPr>
            <w:tcW w:type="dxa" w:w="1728"/>
          </w:tcPr>
          <w:p>
            <w:r/>
            <w:r>
              <w:rPr>
                <w:rFonts w:ascii="Calibri" w:hAnsi="Calibri"/>
                <w:b w:val="0"/>
                <w:i w:val="0"/>
                <w:color w:val="000000"/>
                <w:sz w:val="22"/>
                <w:u w:val="none"/>
              </w:rPr>
              <w:t>HS-PS1-4</w:t>
            </w:r>
          </w:p>
        </w:tc>
        <w:tc>
          <w:tcPr>
            <w:tcW w:type="dxa" w:w="2880"/>
          </w:tcPr>
          <w:p>
            <w:r/>
            <w:r>
              <w:rPr>
                <w:rFonts w:ascii="Calibri" w:hAnsi="Calibri"/>
                <w:b w:val="0"/>
                <w:i w:val="0"/>
                <w:color w:val="000000"/>
                <w:sz w:val="22"/>
                <w:u w:val="none"/>
              </w:rPr>
              <w:t>Analyzing and Interpreting Data</w:t>
            </w:r>
          </w:p>
        </w:tc>
        <w:tc>
          <w:tcPr>
            <w:tcW w:type="dxa" w:w="2160"/>
          </w:tcPr>
          <w:p>
            <w:r/>
            <w:r>
              <w:rPr>
                <w:rFonts w:ascii="Calibri" w:hAnsi="Calibri"/>
                <w:b w:val="0"/>
                <w:i w:val="0"/>
                <w:color w:val="000000"/>
                <w:sz w:val="22"/>
                <w:u w:val="none"/>
              </w:rPr>
              <w:t>Energy and Matter</w:t>
            </w:r>
          </w:p>
        </w:tc>
        <w:tc>
          <w:tcPr>
            <w:tcW w:type="dxa" w:w="3600"/>
          </w:tcPr>
          <w:p>
            <w:r/>
            <w:r>
              <w:rPr>
                <w:rFonts w:ascii="Calibri" w:hAnsi="Calibri"/>
                <w:b w:val="0"/>
                <w:i w:val="0"/>
                <w:color w:val="000000"/>
                <w:sz w:val="22"/>
                <w:u w:val="none"/>
              </w:rPr>
              <w:t>PS1.B: Chemical Reactions</w:t>
            </w:r>
          </w:p>
        </w:tc>
      </w:tr>
    </w:tbl>
    <w:p/>
    <w:p>
      <w:pPr>
        <w:spacing w:before="160" w:after="80"/>
        <w:jc w:val="left"/>
      </w:pPr>
      <w:r>
        <w:rPr>
          <w:rFonts w:ascii="Calibri" w:hAnsi="Calibri"/>
          <w:b/>
          <w:i w:val="0"/>
          <w:color w:val="1F4E79"/>
          <w:sz w:val="24"/>
          <w:u w:val="none"/>
        </w:rPr>
        <w:t>Materials &amp; Preparation</w:t>
      </w:r>
    </w:p>
    <w:p>
      <w:pPr>
        <w:pStyle w:val="ListBullet"/>
        <w:spacing w:before="20" w:after="20"/>
      </w:pPr>
      <w:r>
        <w:rPr>
          <w:rFonts w:ascii="Calibri" w:hAnsi="Calibri"/>
          <w:b w:val="0"/>
          <w:i w:val="0"/>
          <w:color w:val="000000"/>
          <w:sz w:val="22"/>
          <w:u w:val="none"/>
        </w:rPr>
        <w:t>Styrofoam cup calorimeters (2 per group)</w:t>
      </w:r>
    </w:p>
    <w:p>
      <w:pPr>
        <w:pStyle w:val="ListBullet"/>
        <w:spacing w:before="20" w:after="20"/>
      </w:pPr>
      <w:r>
        <w:rPr>
          <w:rFonts w:ascii="Calibri" w:hAnsi="Calibri"/>
          <w:b w:val="0"/>
          <w:i w:val="0"/>
          <w:color w:val="000000"/>
          <w:sz w:val="22"/>
          <w:u w:val="none"/>
        </w:rPr>
        <w:t>Thermometers or temperature probes (1 per group)</w:t>
      </w:r>
    </w:p>
    <w:p>
      <w:pPr>
        <w:pStyle w:val="ListBullet"/>
        <w:spacing w:before="20" w:after="20"/>
      </w:pPr>
      <w:r>
        <w:rPr>
          <w:rFonts w:ascii="Calibri" w:hAnsi="Calibri"/>
          <w:b w:val="0"/>
          <w:i w:val="0"/>
          <w:color w:val="000000"/>
          <w:sz w:val="22"/>
          <w:u w:val="none"/>
        </w:rPr>
        <w:t>Calcium chloride and water (exothermic dissolution)</w:t>
      </w:r>
    </w:p>
    <w:p>
      <w:pPr>
        <w:pStyle w:val="ListBullet"/>
        <w:spacing w:before="20" w:after="20"/>
      </w:pPr>
      <w:r>
        <w:rPr>
          <w:rFonts w:ascii="Calibri" w:hAnsi="Calibri"/>
          <w:b w:val="0"/>
          <w:i w:val="0"/>
          <w:color w:val="000000"/>
          <w:sz w:val="22"/>
          <w:u w:val="none"/>
        </w:rPr>
        <w:t>Ammonium nitrate and water (endothermic dissolution)</w:t>
      </w:r>
    </w:p>
    <w:p>
      <w:pPr>
        <w:pStyle w:val="ListBullet"/>
        <w:spacing w:before="20" w:after="20"/>
      </w:pPr>
      <w:r>
        <w:rPr>
          <w:rFonts w:ascii="Calibri" w:hAnsi="Calibri"/>
          <w:b w:val="0"/>
          <w:i w:val="0"/>
          <w:color w:val="000000"/>
          <w:sz w:val="22"/>
          <w:u w:val="none"/>
        </w:rPr>
        <w:t>Commercial hand warmer and cold pack (1 each for demo)</w:t>
      </w:r>
    </w:p>
    <w:p>
      <w:pPr>
        <w:pStyle w:val="ListBullet"/>
        <w:spacing w:before="20" w:after="20"/>
      </w:pPr>
      <w:r>
        <w:rPr>
          <w:rFonts w:ascii="Calibri" w:hAnsi="Calibri"/>
          <w:b w:val="0"/>
          <w:i w:val="0"/>
          <w:color w:val="000000"/>
          <w:sz w:val="22"/>
          <w:u w:val="none"/>
        </w:rPr>
        <w:t>Energy flow diagram template (printed)</w:t>
      </w:r>
    </w:p>
    <w:p>
      <w:pPr>
        <w:spacing w:before="160" w:after="80"/>
        <w:jc w:val="left"/>
      </w:pPr>
      <w:r>
        <w:rPr>
          <w:rFonts w:ascii="Calibri" w:hAnsi="Calibri"/>
          <w:b/>
          <w:i w:val="0"/>
          <w:color w:val="1F4E79"/>
          <w:sz w:val="24"/>
          <w:u w:val="none"/>
        </w:rPr>
        <w:t>5E Instructional Sequence</w:t>
      </w:r>
    </w:p>
    <w:p>
      <w:pPr>
        <w:spacing w:before="80" w:after="40"/>
      </w:pPr>
      <w:r>
        <w:rPr>
          <w:rFonts w:ascii="Calibri" w:hAnsi="Calibri"/>
          <w:b/>
          <w:i w:val="0"/>
          <w:color w:val="1F4E79"/>
          <w:sz w:val="22"/>
          <w:u w:val="none"/>
        </w:rPr>
        <w:t xml:space="preserve">Engage (5 min): </w:t>
      </w:r>
      <w:r>
        <w:rPr>
          <w:rFonts w:ascii="Calibri" w:hAnsi="Calibri"/>
          <w:b w:val="0"/>
          <w:i w:val="0"/>
          <w:color w:val="000000"/>
          <w:sz w:val="22"/>
          <w:u w:val="none"/>
        </w:rPr>
        <w:t>Brief review of Day 1 concepts through a warm-up problem or quick discussion. Building on previous days: Pass around an activated hand warmer and an activated cold pack. Students touch both and record the temperature sensation. Ask: Both involve chemicals reacting — why does one feel hot and the other cold? Where is the energy coming from or going to? Students write initial hypotheses in notebooks.</w:t>
      </w:r>
    </w:p>
    <w:p>
      <w:pPr>
        <w:spacing w:before="80" w:after="40"/>
      </w:pPr>
      <w:r>
        <w:rPr>
          <w:rFonts w:ascii="Calibri" w:hAnsi="Calibri"/>
          <w:b/>
          <w:i w:val="0"/>
          <w:color w:val="1F4E79"/>
          <w:sz w:val="22"/>
          <w:u w:val="none"/>
        </w:rPr>
        <w:t xml:space="preserve">Explore (12 min): </w:t>
      </w:r>
      <w:r>
        <w:rPr>
          <w:rFonts w:ascii="Calibri" w:hAnsi="Calibri"/>
          <w:b w:val="0"/>
          <w:i w:val="0"/>
          <w:color w:val="000000"/>
          <w:sz w:val="22"/>
          <w:u w:val="none"/>
        </w:rPr>
        <w:t>Students work through practice problems or applications in pairs or small groups. Building on previous days: In pairs, students conduct two mini-experiments. Experiment A: Dissolve calcium chloride in water and record the temperature change every 30 seconds for 3 minutes. Experiment B: Dissolve ammonium nitrate in water and record temperature changes on the same schedule. Students graph both data sets on the same axes using different colors.</w:t>
      </w:r>
    </w:p>
    <w:p>
      <w:pPr>
        <w:spacing w:before="80" w:after="40"/>
      </w:pPr>
      <w:r>
        <w:rPr>
          <w:rFonts w:ascii="Calibri" w:hAnsi="Calibri"/>
          <w:b/>
          <w:i w:val="0"/>
          <w:color w:val="1F4E79"/>
          <w:sz w:val="22"/>
          <w:u w:val="none"/>
        </w:rPr>
        <w:t xml:space="preserve">Explain (8 min): </w:t>
      </w:r>
      <w:r>
        <w:rPr>
          <w:rFonts w:ascii="Calibri" w:hAnsi="Calibri"/>
          <w:b w:val="0"/>
          <w:i w:val="0"/>
          <w:color w:val="000000"/>
          <w:sz w:val="22"/>
          <w:u w:val="none"/>
        </w:rPr>
        <w:t>Address common misconceptions from practice; model problem-solving strategies. Building on previous days: Teacher defines system (the chemicals reacting) and surroundings (everything else, including the water and cup). In exothermic reactions, energy flows from system to surroundings, so surroundings get warmer. In endothermic reactions, energy flows from surroundings to system, so surroundings get cooler. Students label their graphs and complete an energy flow diagram showing arrows for each reaction type.</w:t>
      </w:r>
    </w:p>
    <w:p>
      <w:pPr>
        <w:spacing w:before="80" w:after="40"/>
      </w:pPr>
      <w:r>
        <w:rPr>
          <w:rFonts w:ascii="Calibri" w:hAnsi="Calibri"/>
          <w:b/>
          <w:i w:val="0"/>
          <w:color w:val="1F4E79"/>
          <w:sz w:val="22"/>
          <w:u w:val="none"/>
        </w:rPr>
        <w:t xml:space="preserve">Elaborate (7 min): </w:t>
      </w:r>
      <w:r>
        <w:rPr>
          <w:rFonts w:ascii="Calibri" w:hAnsi="Calibri"/>
          <w:b w:val="0"/>
          <w:i w:val="0"/>
          <w:color w:val="000000"/>
          <w:sz w:val="22"/>
          <w:u w:val="none"/>
        </w:rPr>
        <w:t>CER activity connecting evidence to claims about the topic. Building on previous days: Students classify five real-world processes as exothermic or endothermic: combustion of gasoline, photosynthesis, cooking an egg, ice melting, and rusting of iron. For each, they identify the system and surroundings and draw the energy flow arrow.</w:t>
      </w:r>
    </w:p>
    <w:p>
      <w:pPr>
        <w:spacing w:before="80" w:after="40"/>
      </w:pPr>
      <w:r>
        <w:rPr>
          <w:rFonts w:ascii="Calibri" w:hAnsi="Calibri"/>
          <w:b/>
          <w:i w:val="0"/>
          <w:color w:val="1F4E79"/>
          <w:sz w:val="22"/>
          <w:u w:val="none"/>
        </w:rPr>
        <w:t xml:space="preserve">Evaluate (3 min): </w:t>
      </w:r>
      <w:r>
        <w:rPr>
          <w:rFonts w:ascii="Calibri" w:hAnsi="Calibri"/>
          <w:b w:val="0"/>
          <w:i w:val="0"/>
          <w:color w:val="000000"/>
          <w:sz w:val="22"/>
          <w:u w:val="none"/>
        </w:rPr>
        <w:t>Exit ticket with application-level problems requiring multi-step reasoning. Building on previous days: Exit ticket: A student dissolves a mystery salt in water and the temperature rises from 22 degrees C to 35 degrees C. (1) Is this process exothermic or endothermic? (2) Did the system release or absorb energy? (3) Draw an energy flow diagram with labeled arrows.</w:t>
      </w:r>
    </w:p>
    <w:p/>
    <w:p>
      <w:pPr>
        <w:spacing w:before="160" w:after="80"/>
        <w:jc w:val="left"/>
      </w:pPr>
      <w:r>
        <w:rPr>
          <w:rFonts w:ascii="Calibri" w:hAnsi="Calibri"/>
          <w:b/>
          <w:i w:val="0"/>
          <w:color w:val="1F4E79"/>
          <w:sz w:val="24"/>
          <w:u w:val="none"/>
        </w:rPr>
        <w:t>Differentiation</w:t>
      </w:r>
    </w:p>
    <w:tbl>
      <w:tblPr>
        <w:tblStyle w:val="TableGrid"/>
        <w:tblW w:type="auto" w:w="0"/>
        <w:jc w:val="center"/>
        <w:tblLook w:firstColumn="1" w:firstRow="1" w:lastColumn="0" w:lastRow="0" w:noHBand="0" w:noVBand="1" w:val="04A0"/>
      </w:tblPr>
      <w:tblGrid>
        <w:gridCol w:w="5040"/>
        <w:gridCol w:w="5040"/>
      </w:tblGrid>
      <w:tr>
        <w:tc>
          <w:tcPr>
            <w:tcW w:type="dxa" w:w="2160"/>
            <w:shd w:fill="1F4E79" w:val="clear"/>
          </w:tcPr>
          <w:p>
            <w:pPr>
              <w:jc w:val="center"/>
            </w:pPr>
            <w:r/>
            <w:r>
              <w:rPr>
                <w:rFonts w:ascii="Calibri" w:hAnsi="Calibri"/>
                <w:b/>
                <w:i w:val="0"/>
                <w:color w:val="FFFFFF"/>
                <w:sz w:val="22"/>
                <w:u w:val="none"/>
              </w:rPr>
              <w:t>Level</w:t>
            </w:r>
          </w:p>
        </w:tc>
        <w:tc>
          <w:tcPr>
            <w:tcW w:type="dxa" w:w="7920"/>
            <w:shd w:fill="1F4E79" w:val="clear"/>
          </w:tcPr>
          <w:p>
            <w:pPr>
              <w:jc w:val="center"/>
            </w:pPr>
            <w:r/>
            <w:r>
              <w:rPr>
                <w:rFonts w:ascii="Calibri" w:hAnsi="Calibri"/>
                <w:b/>
                <w:i w:val="0"/>
                <w:color w:val="FFFFFF"/>
                <w:sz w:val="22"/>
                <w:u w:val="none"/>
              </w:rPr>
              <w:t>Accommodations / Modifications</w:t>
            </w:r>
          </w:p>
        </w:tc>
      </w:tr>
      <w:tr>
        <w:tc>
          <w:tcPr>
            <w:tcW w:type="dxa" w:w="2160"/>
          </w:tcPr>
          <w:p>
            <w:r/>
            <w:r>
              <w:rPr>
                <w:rFonts w:ascii="Calibri" w:hAnsi="Calibri"/>
                <w:b w:val="0"/>
                <w:i w:val="0"/>
                <w:color w:val="000000"/>
                <w:sz w:val="22"/>
                <w:u w:val="none"/>
              </w:rPr>
              <w:t>Approaching</w:t>
            </w:r>
          </w:p>
        </w:tc>
        <w:tc>
          <w:tcPr>
            <w:tcW w:type="dxa" w:w="7920"/>
          </w:tcPr>
          <w:p>
            <w:r/>
            <w:r>
              <w:rPr>
                <w:rFonts w:ascii="Calibri" w:hAnsi="Calibri"/>
                <w:b w:val="0"/>
                <w:i w:val="0"/>
                <w:color w:val="000000"/>
                <w:sz w:val="22"/>
                <w:u w:val="none"/>
              </w:rPr>
              <w:t>Review key concepts from the full sequence before assessment. Provide a pre-drawn energy flow diagram template with labeled boxes for system and surroundings; include sentence starters for classifying reactions: 'This reaction is ___ because the temperature of the surroundings ___.'</w:t>
            </w:r>
          </w:p>
        </w:tc>
      </w:tr>
      <w:tr>
        <w:tc>
          <w:tcPr>
            <w:tcW w:type="dxa" w:w="2160"/>
            <w:shd w:fill="F2F2F2" w:val="clear"/>
          </w:tcPr>
          <w:p>
            <w:r/>
            <w:r>
              <w:rPr>
                <w:rFonts w:ascii="Calibri" w:hAnsi="Calibri"/>
                <w:b w:val="0"/>
                <w:i w:val="0"/>
                <w:color w:val="000000"/>
                <w:sz w:val="22"/>
                <w:u w:val="none"/>
              </w:rPr>
              <w:t>On-Level</w:t>
            </w:r>
          </w:p>
        </w:tc>
        <w:tc>
          <w:tcPr>
            <w:tcW w:type="dxa" w:w="7920"/>
            <w:shd w:fill="F2F2F2" w:val="clear"/>
          </w:tcPr>
          <w:p>
            <w:r/>
            <w:r>
              <w:rPr>
                <w:rFonts w:ascii="Calibri" w:hAnsi="Calibri"/>
                <w:b w:val="0"/>
                <w:i w:val="0"/>
                <w:color w:val="000000"/>
                <w:sz w:val="22"/>
                <w:u w:val="none"/>
              </w:rPr>
              <w:t>Complete the two dissolution experiments and classification activity as designed.</w:t>
            </w:r>
          </w:p>
        </w:tc>
      </w:tr>
      <w:tr>
        <w:tc>
          <w:tcPr>
            <w:tcW w:type="dxa" w:w="2160"/>
          </w:tcPr>
          <w:p>
            <w:r/>
            <w:r>
              <w:rPr>
                <w:rFonts w:ascii="Calibri" w:hAnsi="Calibri"/>
                <w:b w:val="0"/>
                <w:i w:val="0"/>
                <w:color w:val="000000"/>
                <w:sz w:val="22"/>
                <w:u w:val="none"/>
              </w:rPr>
              <w:t>Advanced</w:t>
            </w:r>
          </w:p>
        </w:tc>
        <w:tc>
          <w:tcPr>
            <w:tcW w:type="dxa" w:w="7920"/>
          </w:tcPr>
          <w:p>
            <w:r/>
            <w:r>
              <w:rPr>
                <w:rFonts w:ascii="Calibri" w:hAnsi="Calibri"/>
                <w:b w:val="0"/>
                <w:i w:val="0"/>
                <w:color w:val="000000"/>
                <w:sz w:val="22"/>
                <w:u w:val="none"/>
              </w:rPr>
              <w:t>Complete extension challenge connecting to real-world applications. Research and explain why ammonium nitrate cold packs are used in first aid instead of ice, and calculate which provides more cooling per gram using provided enthalpy data.</w:t>
            </w:r>
          </w:p>
        </w:tc>
      </w:tr>
      <w:tr>
        <w:tc>
          <w:tcPr>
            <w:tcW w:type="dxa" w:w="2160"/>
            <w:shd w:fill="F2F2F2" w:val="clear"/>
          </w:tcPr>
          <w:p>
            <w:r/>
            <w:r>
              <w:rPr>
                <w:rFonts w:ascii="Calibri" w:hAnsi="Calibri"/>
                <w:b w:val="0"/>
                <w:i w:val="0"/>
                <w:color w:val="000000"/>
                <w:sz w:val="22"/>
                <w:u w:val="none"/>
              </w:rPr>
              <w:t>ELL</w:t>
            </w:r>
          </w:p>
        </w:tc>
        <w:tc>
          <w:tcPr>
            <w:tcW w:type="dxa" w:w="7920"/>
            <w:shd w:fill="F2F2F2" w:val="clear"/>
          </w:tcPr>
          <w:p>
            <w:r/>
            <w:r>
              <w:rPr>
                <w:rFonts w:ascii="Calibri" w:hAnsi="Calibri"/>
                <w:b w:val="0"/>
                <w:i w:val="0"/>
                <w:color w:val="000000"/>
                <w:sz w:val="22"/>
                <w:u w:val="none"/>
              </w:rPr>
              <w:t>Provide a bilingual vocabulary card with visual energy flow diagrams labeled in English and Spanish; use color-coding (red for exothermic, blue for endothermic) consistently throughout materials.</w:t>
            </w:r>
          </w:p>
        </w:tc>
      </w:tr>
      <w:tr>
        <w:tc>
          <w:tcPr>
            <w:tcW w:type="dxa" w:w="2160"/>
          </w:tcPr>
          <w:p>
            <w:r/>
            <w:r>
              <w:rPr>
                <w:rFonts w:ascii="Calibri" w:hAnsi="Calibri"/>
                <w:b w:val="0"/>
                <w:i w:val="0"/>
                <w:color w:val="000000"/>
                <w:sz w:val="22"/>
                <w:u w:val="none"/>
              </w:rPr>
              <w:t>IEP</w:t>
            </w:r>
          </w:p>
        </w:tc>
        <w:tc>
          <w:tcPr>
            <w:tcW w:type="dxa" w:w="7920"/>
          </w:tcPr>
          <w:p>
            <w:r/>
            <w:r>
              <w:rPr>
                <w:rFonts w:ascii="Calibri" w:hAnsi="Calibri"/>
                <w:b w:val="0"/>
                <w:i w:val="0"/>
                <w:color w:val="000000"/>
                <w:sz w:val="22"/>
                <w:u w:val="none"/>
              </w:rPr>
              <w:t>Pre-formatted data table with time intervals already filled in; partner with a peer for temperature readings; reduce classification problems from five to three.</w:t>
            </w:r>
          </w:p>
        </w:tc>
      </w:tr>
    </w:tbl>
    <w:p/>
    <w:p>
      <w:pPr>
        <w:spacing w:before="160" w:after="80"/>
        <w:jc w:val="left"/>
      </w:pPr>
      <w:r>
        <w:rPr>
          <w:rFonts w:ascii="Calibri" w:hAnsi="Calibri"/>
          <w:b/>
          <w:i w:val="0"/>
          <w:color w:val="1F4E79"/>
          <w:sz w:val="24"/>
          <w:u w:val="none"/>
        </w:rPr>
        <w:t>CRSE Connections</w:t>
      </w:r>
    </w:p>
    <w:p>
      <w:pPr>
        <w:spacing w:before="80" w:after="80"/>
        <w:shd w:fill="E2EFDA" w:val="clear"/>
      </w:pPr>
      <w:r>
        <w:rPr>
          <w:rFonts w:ascii="Calibri" w:hAnsi="Calibri"/>
          <w:b/>
          <w:i w:val="0"/>
          <w:color w:val="1F4E79"/>
          <w:sz w:val="22"/>
          <w:u w:val="none"/>
        </w:rPr>
        <w:t xml:space="preserve">Culturally Responsive-Sustaining Education: </w:t>
      </w:r>
      <w:r>
        <w:rPr>
          <w:rFonts w:ascii="Calibri" w:hAnsi="Calibri"/>
          <w:b w:val="0"/>
          <w:i w:val="0"/>
          <w:color w:val="000000"/>
          <w:sz w:val="22"/>
          <w:u w:val="none"/>
        </w:rPr>
        <w:t>Discuss the chemistry of traditional cooking methods across cultures — tandoori ovens (sustained exothermic combustion), Korean ondol floor heating (using combustion heat transfer), and the endothermic process of evaporative cooling used in Nigerian clay pot refrigerators (zeer pots). Highlight how communities engineered energy solutions long before formal thermochemistry.</w:t>
      </w:r>
    </w:p>
    <w:p>
      <w:pPr>
        <w:spacing w:before="160" w:after="80"/>
        <w:jc w:val="left"/>
      </w:pPr>
      <w:r>
        <w:rPr>
          <w:rFonts w:ascii="Calibri" w:hAnsi="Calibri"/>
          <w:b/>
          <w:i w:val="0"/>
          <w:color w:val="1F4E79"/>
          <w:sz w:val="24"/>
          <w:u w:val="none"/>
        </w:rPr>
        <w:t>Hochman Writing Integration</w:t>
      </w:r>
    </w:p>
    <w:p>
      <w:pPr>
        <w:spacing w:before="80" w:after="80"/>
        <w:shd w:fill="D6E4F0" w:val="clear"/>
      </w:pPr>
      <w:r>
        <w:rPr>
          <w:rFonts w:ascii="Calibri" w:hAnsi="Calibri"/>
          <w:b/>
          <w:i w:val="0"/>
          <w:color w:val="1F4E79"/>
          <w:sz w:val="22"/>
          <w:u w:val="none"/>
        </w:rPr>
        <w:t xml:space="preserve">Literacy Activity: </w:t>
      </w:r>
      <w:r>
        <w:rPr>
          <w:rFonts w:ascii="Calibri" w:hAnsi="Calibri"/>
          <w:b w:val="0"/>
          <w:i w:val="0"/>
          <w:color w:val="000000"/>
          <w:sz w:val="22"/>
          <w:u w:val="none"/>
        </w:rPr>
        <w:t>Kernel sentence expansion using 'Surroundings': Start with 'Surroundings is important.' Expand by adding when, where, why, and how details to create a complex sentence that demonstrates understanding of the concept.</w:t>
      </w:r>
    </w:p>
    <w:sectPr w:rsidR="00FC693F" w:rsidRPr="0006063C" w:rsidSect="00034616">
      <w:footerReference w:type="default" r:id="rId9"/>
      <w:pgSz w:w="12240" w:h="15840"/>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1F4E79"/>
        <w:sz w:val="18"/>
      </w:rPr>
      <w:t>Valley Stream Central High School District</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