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Unit 6: Energy in Chemical Reactions</w:t>
      </w:r>
    </w:p>
    <w:p>
      <w:pPr>
        <w:spacing w:before="0" w:after="160"/>
        <w:jc w:val="center"/>
      </w:pPr>
      <w:r>
        <w:rPr>
          <w:rFonts w:ascii="Calibri" w:hAnsi="Calibri"/>
          <w:b w:val="0"/>
          <w:i/>
          <w:color w:val="1F4E79"/>
          <w:sz w:val="22"/>
          <w:u w:val="none"/>
        </w:rPr>
        <w:t>Duration: 18 days  |  Performance Expectations: HS-PS1-4, HS-PS3-1, HS-PS3-5</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A disposable hand warmer heats up when you open the package and expose it to air, but an instant cold pack gets cold when you squeeze it and break the inner pouch. Both involve chemical reactions — why does one release heat while the other absorbs it?</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can we measure and predict the energy changes that occur during chemical reactions?</w:t>
      </w:r>
    </w:p>
    <w:p>
      <w:pPr>
        <w:pStyle w:val="ListBullet"/>
        <w:spacing w:before="20" w:after="20"/>
      </w:pPr>
      <w:r>
        <w:rPr>
          <w:rFonts w:ascii="Calibri" w:hAnsi="Calibri"/>
          <w:b w:val="0"/>
          <w:i w:val="0"/>
          <w:color w:val="000000"/>
          <w:sz w:val="22"/>
          <w:u w:val="none"/>
        </w:rPr>
        <w:t>What role does bond breaking and bond forming play in determining whether a reaction is exothermic or endothermic?</w:t>
      </w:r>
    </w:p>
    <w:p>
      <w:pPr>
        <w:pStyle w:val="ListBullet"/>
        <w:spacing w:before="20" w:after="20"/>
      </w:pPr>
      <w:r>
        <w:rPr>
          <w:rFonts w:ascii="Calibri" w:hAnsi="Calibri"/>
          <w:b w:val="0"/>
          <w:i w:val="0"/>
          <w:color w:val="000000"/>
          <w:sz w:val="22"/>
          <w:u w:val="none"/>
        </w:rPr>
        <w:t>How do potential energy diagrams help us visualize the energy changes in a reaction?</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Exothermic vs. Endothermic Reactions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classify a chemical reaction as exothermic o...</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Exothermic vs. Endothermic Reactions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classify a chemical reaction as exothermic or endot...</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Potential Energy Diagrams and Activation Energy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draw and interpret a potential energy diagra...</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Potential Energy Diagrams and Activation Energy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draw and interpret a potential energy diagram for exotherm...</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Potential Energy Diagrams and Activation Energy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draw and interpret a potential energy diagram fo...</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Calorimetry and Calculating Heat (q = mCdeltaT)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use the equation q = mCdeltaT to calculate t...</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Calorimetry and Calculating Heat (q = mCdeltaT)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use the equation q = mCdeltaT to calculate the heat absorb...</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Calorimetry and Calculating Heat (q = mCdeltaT)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use the equation q = mCdeltaT to calculate the h...</w:t>
            </w:r>
          </w:p>
        </w:tc>
      </w:tr>
      <w:tr>
        <w:tc>
          <w:tcPr>
            <w:tcW w:type="dxa" w:w="1008"/>
          </w:tcPr>
          <w:p>
            <w:r/>
            <w:r>
              <w:rPr>
                <w:rFonts w:ascii="Calibri" w:hAnsi="Calibri"/>
                <w:b w:val="0"/>
                <w:i w:val="0"/>
                <w:color w:val="000000"/>
                <w:sz w:val="22"/>
                <w:u w:val="none"/>
              </w:rPr>
              <w:t>9</w:t>
            </w:r>
          </w:p>
        </w:tc>
        <w:tc>
          <w:tcPr>
            <w:tcW w:type="dxa" w:w="2880"/>
          </w:tcPr>
          <w:p>
            <w:r/>
            <w:r>
              <w:rPr>
                <w:rFonts w:ascii="Calibri" w:hAnsi="Calibri"/>
                <w:b w:val="0"/>
                <w:i w:val="0"/>
                <w:color w:val="000000"/>
                <w:sz w:val="22"/>
                <w:u w:val="none"/>
              </w:rPr>
              <w:t>Enthalpy, Bond Energy, and Energy in Reactions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explain how breaking bonds requires energy a...</w:t>
            </w:r>
          </w:p>
        </w:tc>
      </w:tr>
      <w:tr>
        <w:tc>
          <w:tcPr>
            <w:tcW w:type="dxa" w:w="1008"/>
            <w:shd w:fill="F2F2F2" w:val="clear"/>
          </w:tcPr>
          <w:p>
            <w:r/>
            <w:r>
              <w:rPr>
                <w:rFonts w:ascii="Calibri" w:hAnsi="Calibri"/>
                <w:b w:val="0"/>
                <w:i w:val="0"/>
                <w:color w:val="000000"/>
                <w:sz w:val="22"/>
                <w:u w:val="none"/>
              </w:rPr>
              <w:t>10</w:t>
            </w:r>
          </w:p>
        </w:tc>
        <w:tc>
          <w:tcPr>
            <w:tcW w:type="dxa" w:w="2880"/>
            <w:shd w:fill="F2F2F2" w:val="clear"/>
          </w:tcPr>
          <w:p>
            <w:r/>
            <w:r>
              <w:rPr>
                <w:rFonts w:ascii="Calibri" w:hAnsi="Calibri"/>
                <w:b w:val="0"/>
                <w:i w:val="0"/>
                <w:color w:val="000000"/>
                <w:sz w:val="22"/>
                <w:u w:val="none"/>
              </w:rPr>
              <w:t>Enthalpy, Bond Energy, and Energy in Reactions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explain how breaking bonds requires energy and forming bon...</w:t>
            </w:r>
          </w:p>
        </w:tc>
      </w:tr>
      <w:tr>
        <w:tc>
          <w:tcPr>
            <w:tcW w:type="dxa" w:w="1008"/>
          </w:tcPr>
          <w:p>
            <w:r/>
            <w:r>
              <w:rPr>
                <w:rFonts w:ascii="Calibri" w:hAnsi="Calibri"/>
                <w:b w:val="0"/>
                <w:i w:val="0"/>
                <w:color w:val="000000"/>
                <w:sz w:val="22"/>
                <w:u w:val="none"/>
              </w:rPr>
              <w:t>11</w:t>
            </w:r>
          </w:p>
        </w:tc>
        <w:tc>
          <w:tcPr>
            <w:tcW w:type="dxa" w:w="2880"/>
          </w:tcPr>
          <w:p>
            <w:r/>
            <w:r>
              <w:rPr>
                <w:rFonts w:ascii="Calibri" w:hAnsi="Calibri"/>
                <w:b w:val="0"/>
                <w:i w:val="0"/>
                <w:color w:val="000000"/>
                <w:sz w:val="22"/>
                <w:u w:val="none"/>
              </w:rPr>
              <w:t>Enthalpy, Bond Energy, and Energy in Reactions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explain how breaking bonds requires energy and f...</w:t>
            </w:r>
          </w:p>
        </w:tc>
      </w:tr>
      <w:tr>
        <w:tc>
          <w:tcPr>
            <w:tcW w:type="dxa" w:w="1008"/>
            <w:shd w:fill="F2F2F2" w:val="clear"/>
          </w:tcPr>
          <w:p>
            <w:r/>
            <w:r>
              <w:rPr>
                <w:rFonts w:ascii="Calibri" w:hAnsi="Calibri"/>
                <w:b w:val="0"/>
                <w:i w:val="0"/>
                <w:color w:val="000000"/>
                <w:sz w:val="22"/>
                <w:u w:val="none"/>
              </w:rPr>
              <w:t>12</w:t>
            </w:r>
          </w:p>
        </w:tc>
        <w:tc>
          <w:tcPr>
            <w:tcW w:type="dxa" w:w="2880"/>
            <w:shd w:fill="F2F2F2" w:val="clear"/>
          </w:tcPr>
          <w:p>
            <w:r/>
            <w:r>
              <w:rPr>
                <w:rFonts w:ascii="Calibri" w:hAnsi="Calibri"/>
                <w:b w:val="0"/>
                <w:i w:val="0"/>
                <w:color w:val="000000"/>
                <w:sz w:val="22"/>
                <w:u w:val="none"/>
              </w:rPr>
              <w:t>Hess's Law and Enthalpy Calculations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apply Hess's Law to calculate the enthalpy c...</w:t>
            </w:r>
          </w:p>
        </w:tc>
      </w:tr>
      <w:tr>
        <w:tc>
          <w:tcPr>
            <w:tcW w:type="dxa" w:w="1008"/>
          </w:tcPr>
          <w:p>
            <w:r/>
            <w:r>
              <w:rPr>
                <w:rFonts w:ascii="Calibri" w:hAnsi="Calibri"/>
                <w:b w:val="0"/>
                <w:i w:val="0"/>
                <w:color w:val="000000"/>
                <w:sz w:val="22"/>
                <w:u w:val="none"/>
              </w:rPr>
              <w:t>13</w:t>
            </w:r>
          </w:p>
        </w:tc>
        <w:tc>
          <w:tcPr>
            <w:tcW w:type="dxa" w:w="2880"/>
          </w:tcPr>
          <w:p>
            <w:r/>
            <w:r>
              <w:rPr>
                <w:rFonts w:ascii="Calibri" w:hAnsi="Calibri"/>
                <w:b w:val="0"/>
                <w:i w:val="0"/>
                <w:color w:val="000000"/>
                <w:sz w:val="22"/>
                <w:u w:val="none"/>
              </w:rPr>
              <w:t>Hess's Law and Enthalpy Calculations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apply Hess's Law to calculate the enthalpy change of a rea...</w:t>
            </w:r>
          </w:p>
        </w:tc>
      </w:tr>
      <w:tr>
        <w:tc>
          <w:tcPr>
            <w:tcW w:type="dxa" w:w="1008"/>
            <w:shd w:fill="F2F2F2" w:val="clear"/>
          </w:tcPr>
          <w:p>
            <w:r/>
            <w:r>
              <w:rPr>
                <w:rFonts w:ascii="Calibri" w:hAnsi="Calibri"/>
                <w:b w:val="0"/>
                <w:i w:val="0"/>
                <w:color w:val="000000"/>
                <w:sz w:val="22"/>
                <w:u w:val="none"/>
              </w:rPr>
              <w:t>14</w:t>
            </w:r>
          </w:p>
        </w:tc>
        <w:tc>
          <w:tcPr>
            <w:tcW w:type="dxa" w:w="2880"/>
            <w:shd w:fill="F2F2F2" w:val="clear"/>
          </w:tcPr>
          <w:p>
            <w:r/>
            <w:r>
              <w:rPr>
                <w:rFonts w:ascii="Calibri" w:hAnsi="Calibri"/>
                <w:b w:val="0"/>
                <w:i w:val="0"/>
                <w:color w:val="000000"/>
                <w:sz w:val="22"/>
                <w:u w:val="none"/>
              </w:rPr>
              <w:t>Hess's Law and Enthalpy Calculations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apply Hess's Law to calculate the enthalpy chang...</w:t>
            </w:r>
          </w:p>
        </w:tc>
      </w:tr>
      <w:tr>
        <w:tc>
          <w:tcPr>
            <w:tcW w:type="dxa" w:w="1008"/>
          </w:tcPr>
          <w:p>
            <w:r/>
            <w:r>
              <w:rPr>
                <w:rFonts w:ascii="Calibri" w:hAnsi="Calibri"/>
                <w:b w:val="0"/>
                <w:i w:val="0"/>
                <w:color w:val="000000"/>
                <w:sz w:val="22"/>
                <w:u w:val="none"/>
              </w:rPr>
              <w:t>15</w:t>
            </w:r>
          </w:p>
        </w:tc>
        <w:tc>
          <w:tcPr>
            <w:tcW w:type="dxa" w:w="2880"/>
          </w:tcPr>
          <w:p>
            <w:r/>
            <w:r>
              <w:rPr>
                <w:rFonts w:ascii="Calibri" w:hAnsi="Calibri"/>
                <w:b w:val="0"/>
                <w:i w:val="0"/>
                <w:color w:val="000000"/>
                <w:sz w:val="22"/>
                <w:u w:val="none"/>
              </w:rPr>
              <w:t>Energy in Reactions Review and Performance Task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connect exothermic/endothermic classificatio...</w:t>
            </w:r>
          </w:p>
        </w:tc>
      </w:tr>
      <w:tr>
        <w:tc>
          <w:tcPr>
            <w:tcW w:type="dxa" w:w="1008"/>
            <w:shd w:fill="F2F2F2" w:val="clear"/>
          </w:tcPr>
          <w:p>
            <w:r/>
            <w:r>
              <w:rPr>
                <w:rFonts w:ascii="Calibri" w:hAnsi="Calibri"/>
                <w:b w:val="0"/>
                <w:i w:val="0"/>
                <w:color w:val="000000"/>
                <w:sz w:val="22"/>
                <w:u w:val="none"/>
              </w:rPr>
              <w:t>16</w:t>
            </w:r>
          </w:p>
        </w:tc>
        <w:tc>
          <w:tcPr>
            <w:tcW w:type="dxa" w:w="2880"/>
            <w:shd w:fill="F2F2F2" w:val="clear"/>
          </w:tcPr>
          <w:p>
            <w:r/>
            <w:r>
              <w:rPr>
                <w:rFonts w:ascii="Calibri" w:hAnsi="Calibri"/>
                <w:b w:val="0"/>
                <w:i w:val="0"/>
                <w:color w:val="000000"/>
                <w:sz w:val="22"/>
                <w:u w:val="none"/>
              </w:rPr>
              <w:t>Energy in Reactions Review and Performance Task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connect exothermic/endothermic classification, PE d...</w:t>
            </w:r>
          </w:p>
        </w:tc>
      </w:tr>
      <w:tr>
        <w:tc>
          <w:tcPr>
            <w:tcW w:type="dxa" w:w="1008"/>
          </w:tcPr>
          <w:p>
            <w:r/>
            <w:r>
              <w:rPr>
                <w:rFonts w:ascii="Calibri" w:hAnsi="Calibri"/>
                <w:b w:val="0"/>
                <w:i w:val="0"/>
                <w:color w:val="000000"/>
                <w:sz w:val="22"/>
                <w:u w:val="none"/>
              </w:rPr>
              <w:t>17</w:t>
            </w:r>
          </w:p>
        </w:tc>
        <w:tc>
          <w:tcPr>
            <w:tcW w:type="dxa" w:w="2880"/>
          </w:tcPr>
          <w:p>
            <w:r/>
            <w:r>
              <w:rPr>
                <w:rFonts w:ascii="Calibri" w:hAnsi="Calibri"/>
                <w:b w:val="0"/>
                <w:i w:val="0"/>
                <w:color w:val="000000"/>
                <w:sz w:val="22"/>
                <w:u w:val="none"/>
              </w:rPr>
              <w:t>Calorimetry Lab: Measuring Heat in Chemical Reactions</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design and conduct a calorimetry experiment to measure the heat released or absorbed duri...</w:t>
            </w:r>
          </w:p>
        </w:tc>
      </w:tr>
      <w:tr>
        <w:tc>
          <w:tcPr>
            <w:tcW w:type="dxa" w:w="1008"/>
            <w:shd w:fill="F2F2F2" w:val="clear"/>
          </w:tcPr>
          <w:p>
            <w:r/>
            <w:r>
              <w:rPr>
                <w:rFonts w:ascii="Calibri" w:hAnsi="Calibri"/>
                <w:b w:val="0"/>
                <w:i w:val="0"/>
                <w:color w:val="000000"/>
                <w:sz w:val="22"/>
                <w:u w:val="none"/>
              </w:rPr>
              <w:t>18</w:t>
            </w:r>
          </w:p>
        </w:tc>
        <w:tc>
          <w:tcPr>
            <w:tcW w:type="dxa" w:w="2880"/>
            <w:shd w:fill="F2F2F2" w:val="clear"/>
          </w:tcPr>
          <w:p>
            <w:r/>
            <w:r>
              <w:rPr>
                <w:rFonts w:ascii="Calibri" w:hAnsi="Calibri"/>
                <w:b w:val="0"/>
                <w:i w:val="0"/>
                <w:color w:val="000000"/>
                <w:sz w:val="22"/>
                <w:u w:val="none"/>
              </w:rPr>
              <w:t>Energy Diagrams and Catalysts: Practice and Problem Solving</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interpret and draw potential energy diagrams for catalyzed and uncatalyzed reactions and ...</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HS-PS1-5</w:t>
              <w:br/>
              <w:t>HS-PS3-1</w:t>
              <w:br/>
              <w:t>HS-PS3-5</w:t>
            </w:r>
          </w:p>
        </w:tc>
        <w:tc>
          <w:tcPr>
            <w:tcW w:type="dxa" w:w="2880"/>
          </w:tcPr>
          <w:p>
            <w:r/>
            <w:r>
              <w:rPr>
                <w:rFonts w:ascii="Calibri" w:hAnsi="Calibri"/>
                <w:b w:val="0"/>
                <w:i w:val="0"/>
                <w:color w:val="000000"/>
                <w:sz w:val="22"/>
                <w:u w:val="none"/>
              </w:rPr>
              <w:t>Analyzing and Interpreting Data</w:t>
              <w:br/>
              <w:t>Constructing Explanations and Designing Solutions</w:t>
              <w:br/>
              <w:t>Developing and Using Models</w:t>
              <w:br/>
              <w:t>Engaging in Argument from Evidence</w:t>
              <w:br/>
              <w:t>Planning and Carrying Out Investigations</w:t>
              <w:br/>
              <w:t>Using Mathematics and Computational Thinking</w:t>
            </w:r>
          </w:p>
        </w:tc>
        <w:tc>
          <w:tcPr>
            <w:tcW w:type="dxa" w:w="2160"/>
          </w:tcPr>
          <w:p>
            <w:r/>
            <w:r>
              <w:rPr>
                <w:rFonts w:ascii="Calibri" w:hAnsi="Calibri"/>
                <w:b w:val="0"/>
                <w:i w:val="0"/>
                <w:color w:val="000000"/>
                <w:sz w:val="22"/>
                <w:u w:val="none"/>
              </w:rPr>
              <w:t>Energy and Matter</w:t>
              <w:br/>
              <w:t>Scale, Proportion, and Quantity</w:t>
              <w:br/>
              <w:t>Stability and Change</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examine how energy transformations in chemical reactions connect to cultural practices and real-world applications, including traditional metallurgy in West Africa (iron smelting requiring understanding of exothermic reactions), the chemistry of cooking across cultures, and the environmental justice implications of industrial energy use in communities of color.</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exothermic vs. endothermic classification</w:t>
      </w:r>
    </w:p>
    <w:p>
      <w:pPr>
        <w:pStyle w:val="ListBullet"/>
        <w:spacing w:before="20" w:after="20"/>
      </w:pPr>
      <w:r>
        <w:rPr>
          <w:rFonts w:ascii="Calibri" w:hAnsi="Calibri"/>
          <w:b w:val="0"/>
          <w:i w:val="0"/>
          <w:color w:val="000000"/>
          <w:sz w:val="22"/>
          <w:u w:val="none"/>
        </w:rPr>
        <w:t>Potential energy diagram sketching checks</w:t>
      </w:r>
    </w:p>
    <w:p>
      <w:pPr>
        <w:pStyle w:val="ListBullet"/>
        <w:spacing w:before="20" w:after="20"/>
      </w:pPr>
      <w:r>
        <w:rPr>
          <w:rFonts w:ascii="Calibri" w:hAnsi="Calibri"/>
          <w:b w:val="0"/>
          <w:i w:val="0"/>
          <w:color w:val="000000"/>
          <w:sz w:val="22"/>
          <w:u w:val="none"/>
        </w:rPr>
        <w:t>Calorimetry calculation practice quiz</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Calorimetry Lab Report</w:t>
      </w:r>
    </w:p>
    <w:p>
      <w:pPr>
        <w:pStyle w:val="ListBullet"/>
        <w:spacing w:before="20" w:after="20"/>
      </w:pPr>
      <w:r>
        <w:rPr>
          <w:rFonts w:ascii="Calibri" w:hAnsi="Calibri"/>
          <w:b w:val="0"/>
          <w:i w:val="0"/>
          <w:color w:val="000000"/>
          <w:sz w:val="22"/>
          <w:u w:val="none"/>
        </w:rPr>
        <w:t>Unit 6 Exam: Energy in Chemical Reactions</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6: Calorimetry — Measuring the Heat of Dissolution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