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7: Reaction Rates &amp; Equilibrium  |  Lesson 5: Reaction Rate Graphs and Interpreting Rate Data (Day 2 of 2)</w:t>
      </w:r>
    </w:p>
    <w:p>
      <w:pPr>
        <w:spacing w:before="0" w:after="80"/>
        <w:jc w:val="center"/>
      </w:pPr>
      <w:r>
        <w:rPr>
          <w:rFonts w:ascii="Calibri" w:hAnsi="Calibri"/>
          <w:b/>
          <w:i w:val="0"/>
          <w:color w:val="1F4E79"/>
          <w:sz w:val="24"/>
          <w:u w:val="none"/>
        </w:rPr>
        <w:t>Topic: Interpreting Rate Graphs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Two students study the same decomposition reaction. Student A runs the reaction at 25 degrees C and Student B runs it at 50 degrees C. Both plot concentration of reactant vs. time. Student A's curve decreases slowly and levels off at 300 seconds. Student B's curve decreases steeply and levels off at 90 seconds. Both curves level off at the same final concentration.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temperature affects the rate but not the final amount of product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slopes and endpoints of both graphs and connect to collision theory to explain the observations.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Student B's curve is steeper, meaning ___, because at higher temperature, particles have ___ kinetic energy and collisions are___. Both curves reach the same final concentration because ___, which shows that temperature affects ___ but not___.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