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7: Dynamic Equilibrium (Day 2 of 3)</w:t>
        <w:br/>
      </w:r>
      <w:r>
        <w:rPr>
          <w:rFonts w:ascii="Calibri" w:hAnsi="Calibri"/>
          <w:b w:val="0"/>
          <w:i/>
          <w:color w:val="D6E4F0"/>
          <w:sz w:val="22"/>
          <w:u w:val="none"/>
        </w:rPr>
        <w:t>PE: HS-PS1-6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describe dynamic equilibrium as the state where the forward and reverse reaction rates are equal and explain why concentrations remain constant even though both reactions continue.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describe dynamic equilibrium as the state where the forward and reverse reaction rates are equal and explain why concentrations remain constant even though both reactions continue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Two graduated cylinders and two different-sized straws per group (equilibrium simulation)</w:t>
      </w:r>
    </w:p>
    <w:p>
      <w:pPr>
        <w:pStyle w:val="ListBullet"/>
        <w:spacing w:before="20" w:after="20"/>
      </w:pPr>
      <w:r>
        <w:rPr>
          <w:rFonts w:ascii="Calibri" w:hAnsi="Calibri"/>
          <w:b w:val="0"/>
          <w:i w:val="0"/>
          <w:color w:val="000000"/>
          <w:sz w:val="22"/>
          <w:u w:val="none"/>
        </w:rPr>
        <w:t>Food coloring and water</w:t>
      </w:r>
    </w:p>
    <w:p>
      <w:pPr>
        <w:pStyle w:val="ListBullet"/>
        <w:spacing w:before="20" w:after="20"/>
      </w:pPr>
      <w:r>
        <w:rPr>
          <w:rFonts w:ascii="Calibri" w:hAnsi="Calibri"/>
          <w:b w:val="0"/>
          <w:i w:val="0"/>
          <w:color w:val="000000"/>
          <w:sz w:val="22"/>
          <w:u w:val="none"/>
        </w:rPr>
        <w:t>Equilibrium concentration-time graph handout (printed)</w:t>
      </w:r>
    </w:p>
    <w:p>
      <w:pPr>
        <w:pStyle w:val="ListBullet"/>
        <w:spacing w:before="20" w:after="20"/>
      </w:pPr>
      <w:r>
        <w:rPr>
          <w:rFonts w:ascii="Calibri" w:hAnsi="Calibri"/>
          <w:b w:val="0"/>
          <w:i w:val="0"/>
          <w:color w:val="000000"/>
          <w:sz w:val="22"/>
          <w:u w:val="none"/>
        </w:rPr>
        <w:t>Dynamic equilibrium diagram template (printed)</w:t>
      </w:r>
    </w:p>
    <w:p>
      <w:pPr>
        <w:pStyle w:val="ListBullet"/>
        <w:spacing w:before="20" w:after="20"/>
      </w:pPr>
      <w:r>
        <w:rPr>
          <w:rFonts w:ascii="Calibri" w:hAnsi="Calibri"/>
          <w:b w:val="0"/>
          <w:i w:val="0"/>
          <w:color w:val="000000"/>
          <w:sz w:val="22"/>
          <w:u w:val="none"/>
        </w:rPr>
        <w:t>PhET simulation: 'Reactions &amp; Rates' equilibrium module (projected)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Sealed soda demo: Hold up a sealed bottle of clear soda. Ask: Is anything happening inside this bottle right now? Students may say no. Then shake it and open it — the vigorous fizzing proves CO2 was actively dissolving and un-dissolving even though it appeared static. Introduce the concept: at equilibrium, both forward and reverse processes occur continuously at equal rates.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Straw transfer activity: Each group has two graduated cylinders — one filled with 50 mL of colored water (reactants) and one empty (products). Two students simultaneously transfer water between cylinders using different-sized straws (one large, one small). They record the volume in each cylinder every 30 seconds for 5 minutes. Initially, more water moves from the full to the empty cylinder, but as volumes equalize, the rates of transfer become closer until volumes stabilize.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connects the activity to chemical equilibrium: the large straw represents the forward reaction and the small straw the reverse reaction. At first, the forward rate is greater because there are more 'reactant' particles. As products accumulate, the reverse rate increases. Equilibrium is reached when forward rate equals reverse rate. Key point: concentrations are constant but not necessarily equal — the system is dynamic, not static. Students draw equilibrium concentration-time graphs showing both reactants and products leveling off.</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examine the PhET equilibrium simulation, adjusting initial concentrations and observing how equilibrium position changes. They answer: If you start with more reactants, do you get more products at equilibrium? Does the system still reach a state where rates are equal? Students record observations and compare with their straw activity results.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student says 'At equilibrium, the reaction has stopped because the concentrations aren't changing.' (1) Explain why this statement is incorrect. (2) Draw a rate-time graph showing the forward and reverse rates approaching equilibrium. (3) Label the point where equilibrium is established.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pre-drawn rate-time graph template with the forward rate curve started; include a checklist of equilibrium characteristics: 'At equilibrium: forward rate ___ reverse rate; concentrations are ___; reactions are still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straw transfer activity and graphing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Predict how using two straws of the same size would change the equilibrium position and graph the expected concentration-time curves. Test the prediction with the simulation.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dynamic/static equilibrium comparison chart with diagrams; use the straw analogy as a visual anchor throughout the lesson; sentence frames for exit ticket.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with peer for straw activity; provide pre-formatted data table; allow verbal explanation for exit ticket question 1; reduce to two questions.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equilibrium to the carbon cycle and ocean acidification — a critical environmental justice issue. As atmospheric CO2 increases, the equilibrium CO2(g) + H2O(l) -&gt; H2CO3(aq) shifts right, making oceans more acidic. This disproportionately affects coastal fishing communities in the Global South, many of them indigenous or low-income. Highlight the work of Sylvia Earle, marine biologist and National Geographic Explorer, who has advocated for understanding ocean chemistry.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'Closed System': Write three sentences — 'Closed System... because ___.' / 'Closed System... but ___.' / 'Closed System...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