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Chemistry - Student Notes</w:t>
      </w:r>
    </w:p>
    <w:p>
      <w:pPr>
        <w:spacing w:before="0" w:after="80"/>
        <w:jc w:val="center"/>
      </w:pPr>
      <w:r>
        <w:rPr>
          <w:rFonts w:ascii="Calibri" w:hAnsi="Calibri"/>
          <w:b w:val="0"/>
          <w:i/>
          <w:color w:val="1F4E79"/>
          <w:sz w:val="22"/>
          <w:u w:val="none"/>
        </w:rPr>
        <w:t>Unit 7: Reaction Rates &amp; Equilibrium  |  Lesson 8: Dynamic Equilibrium (Day 3 of 3)</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20" w:after="120"/>
        <w:shd w:fill="D6E4F0" w:val="clear"/>
      </w:pPr>
      <w:r>
        <w:rPr>
          <w:rFonts w:ascii="Calibri" w:hAnsi="Calibri"/>
          <w:b/>
          <w:i w:val="0"/>
          <w:color w:val="1F4E79"/>
          <w:sz w:val="22"/>
          <w:u w:val="none"/>
        </w:rPr>
        <w:t xml:space="preserve">Learning Target: </w:t>
      </w:r>
      <w:r>
        <w:rPr>
          <w:rFonts w:ascii="Calibri" w:hAnsi="Calibri"/>
          <w:b w:val="0"/>
          <w:i w:val="0"/>
          <w:color w:val="000000"/>
          <w:sz w:val="22"/>
          <w:u w:val="none"/>
        </w:rPr>
        <w:t>At the end of 42 minutes I can evaluate and explain my understanding to describe dynamic equilibrium as the state where the forward and reverse reaction rates are equal and explain why concentrations remain constant even though both reactions continue</w:t>
      </w:r>
    </w:p>
    <w:p>
      <w:pPr>
        <w:spacing w:before="160" w:after="80"/>
        <w:jc w:val="left"/>
      </w:pPr>
      <w:r>
        <w:rPr>
          <w:rFonts w:ascii="Calibri" w:hAnsi="Calibri"/>
          <w:b/>
          <w:i w:val="0"/>
          <w:color w:val="1F4E79"/>
          <w:sz w:val="24"/>
          <w:u w:val="none"/>
        </w:rPr>
        <w:t>Key Vocabulary</w:t>
      </w:r>
    </w:p>
    <w:tbl>
      <w:tblPr>
        <w:tblStyle w:val="TableGrid"/>
        <w:tblW w:type="auto" w:w="0"/>
        <w:jc w:val="center"/>
        <w:tblLook w:firstColumn="1" w:firstRow="1" w:lastColumn="0" w:lastRow="0" w:noHBand="0" w:noVBand="1" w:val="04A0"/>
      </w:tblPr>
      <w:tblGrid>
        <w:gridCol w:w="5040"/>
        <w:gridCol w:w="5040"/>
      </w:tblGrid>
      <w:tr>
        <w:tc>
          <w:tcPr>
            <w:tcW w:type="dxa" w:w="2880"/>
            <w:shd w:fill="1F4E79" w:val="clear"/>
          </w:tcPr>
          <w:p>
            <w:pPr>
              <w:jc w:val="center"/>
            </w:pPr>
            <w:r/>
            <w:r>
              <w:rPr>
                <w:rFonts w:ascii="Calibri" w:hAnsi="Calibri"/>
                <w:b/>
                <w:i w:val="0"/>
                <w:color w:val="FFFFFF"/>
                <w:sz w:val="22"/>
                <w:u w:val="none"/>
              </w:rPr>
              <w:t>Term</w:t>
            </w:r>
          </w:p>
        </w:tc>
        <w:tc>
          <w:tcPr>
            <w:tcW w:type="dxa" w:w="7200"/>
            <w:shd w:fill="1F4E79" w:val="clear"/>
          </w:tcPr>
          <w:p>
            <w:pPr>
              <w:jc w:val="center"/>
            </w:pPr>
            <w:r/>
            <w:r>
              <w:rPr>
                <w:rFonts w:ascii="Calibri" w:hAnsi="Calibri"/>
                <w:b/>
                <w:i w:val="0"/>
                <w:color w:val="FFFFFF"/>
                <w:sz w:val="22"/>
                <w:u w:val="none"/>
              </w:rPr>
              <w:t>Definition (fill in the blanks)</w:t>
            </w:r>
          </w:p>
        </w:tc>
      </w:tr>
      <w:tr>
        <w:tc>
          <w:tcPr>
            <w:tcW w:type="dxa" w:w="2880"/>
          </w:tcPr>
          <w:p>
            <w:r/>
            <w:r>
              <w:rPr>
                <w:rFonts w:ascii="Calibri" w:hAnsi="Calibri"/>
                <w:b w:val="0"/>
                <w:i w:val="0"/>
                <w:color w:val="000000"/>
                <w:sz w:val="22"/>
                <w:u w:val="none"/>
              </w:rPr>
              <w:t>Forward Reaction</w:t>
            </w:r>
          </w:p>
        </w:tc>
        <w:tc>
          <w:tcPr>
            <w:tcW w:type="dxa" w:w="7200"/>
          </w:tcPr>
          <w:p>
            <w:r/>
            <w:r>
              <w:rPr>
                <w:rFonts w:ascii="Calibri" w:hAnsi="Calibri"/>
                <w:b w:val="0"/>
                <w:i w:val="0"/>
                <w:color w:val="000000"/>
                <w:sz w:val="22"/>
                <w:u w:val="none"/>
              </w:rPr>
              <w:t>The reaction that ________ from reactants ________ products as ________ in the ________ equation</w:t>
            </w:r>
          </w:p>
        </w:tc>
      </w:tr>
    </w:tbl>
    <w:p/>
    <w:p>
      <w:pPr>
        <w:spacing w:before="160" w:after="80"/>
        <w:jc w:val="left"/>
      </w:pPr>
      <w:r>
        <w:rPr>
          <w:rFonts w:ascii="Calibri" w:hAnsi="Calibri"/>
          <w:b/>
          <w:i w:val="0"/>
          <w:color w:val="1F4E79"/>
          <w:sz w:val="24"/>
          <w:u w:val="none"/>
        </w:rPr>
        <w:t>Guided Notes</w:t>
      </w:r>
    </w:p>
    <w:p>
      <w:pPr>
        <w:spacing w:before="120" w:after="80"/>
        <w:jc w:val="left"/>
      </w:pPr>
      <w:r>
        <w:rPr>
          <w:rFonts w:ascii="Calibri" w:hAnsi="Calibri"/>
          <w:b/>
          <w:i w:val="0"/>
          <w:color w:val="000000"/>
          <w:sz w:val="22"/>
          <w:u w:val="none"/>
        </w:rPr>
        <w:t>Section 3: Rate-Time Graphs — Watching Equilibrium Develop</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Summary</w:t>
      </w:r>
    </w:p>
    <w:p>
      <w:pPr>
        <w:spacing w:before="80"/>
        <w:shd w:fill="E2EFDA" w:val="clear"/>
      </w:pPr>
      <w:r>
        <w:rPr>
          <w:rFonts w:ascii="Calibri" w:hAnsi="Calibri"/>
          <w:b w:val="0"/>
          <w:i/>
          <w:color w:val="000000"/>
          <w:sz w:val="22"/>
          <w:u w:val="none"/>
        </w:rPr>
        <w:t xml:space="preserve">Complete the Because/But/So sentence frame about </w:t>
      </w:r>
      <w:r>
        <w:rPr>
          <w:rFonts w:ascii="Calibri" w:hAnsi="Calibri"/>
          <w:b/>
          <w:i/>
          <w:color w:val="000000"/>
          <w:sz w:val="22"/>
          <w:u w:val="none"/>
        </w:rPr>
        <w:t>Dynamic Equilibrium (Day 3 of 3):</w:t>
      </w:r>
    </w:p>
    <w:p>
      <w:pPr>
        <w:spacing w:before="80" w:after="40"/>
      </w:pPr>
      <w:r>
        <w:rPr>
          <w:rFonts w:ascii="Calibri" w:hAnsi="Calibri"/>
          <w:b/>
          <w:i w:val="0"/>
          <w:color w:val="000000"/>
          <w:sz w:val="22"/>
          <w:u w:val="none"/>
        </w:rPr>
        <w:t xml:space="preserve">Dynamic Equilibrium (Day 3 of 3) is important because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Scientists study dynamic equilibrium (day 3 of 3), but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Understanding dynamic equilibrium (day 3 of 3) helps us, so </w:t>
      </w:r>
      <w:r>
        <w:rPr>
          <w:rFonts w:ascii="Calibri" w:hAnsi="Calibri"/>
          <w:b w:val="0"/>
          <w:i w:val="0"/>
          <w:color w:val="BBBBBB"/>
          <w:sz w:val="22"/>
          <w:u w:val="none"/>
        </w:rPr>
        <w:t>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