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Unit 8: Acids, Bases &amp; Salts</w:t>
      </w:r>
    </w:p>
    <w:p>
      <w:pPr>
        <w:spacing w:before="0" w:after="160"/>
        <w:jc w:val="center"/>
      </w:pPr>
      <w:r>
        <w:rPr>
          <w:rFonts w:ascii="Calibri" w:hAnsi="Calibri"/>
          <w:b w:val="0"/>
          <w:i/>
          <w:color w:val="1F4E79"/>
          <w:sz w:val="22"/>
          <w:u w:val="none"/>
        </w:rPr>
        <w:t>Duration: 15 days  |  Performance Expectations: HS-PS1-11</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Antacid tablets relieve heartburn by reacting with stomach acid. But if you take too many, your stomach can become too basic and you feel just as bad. How do chemists measure and control the balance between acids and bases?</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What makes a substance an acid or a base, and how do different theories define them?</w:t>
      </w:r>
    </w:p>
    <w:p>
      <w:pPr>
        <w:pStyle w:val="ListBullet"/>
        <w:spacing w:before="20" w:after="20"/>
      </w:pPr>
      <w:r>
        <w:rPr>
          <w:rFonts w:ascii="Calibri" w:hAnsi="Calibri"/>
          <w:b w:val="0"/>
          <w:i w:val="0"/>
          <w:color w:val="000000"/>
          <w:sz w:val="22"/>
          <w:u w:val="none"/>
        </w:rPr>
        <w:t>How does the pH scale quantify the strength of an acid or base, and what do pH values tell us about hydronium ion concentration?</w:t>
      </w:r>
    </w:p>
    <w:p>
      <w:pPr>
        <w:pStyle w:val="ListBullet"/>
        <w:spacing w:before="20" w:after="20"/>
      </w:pPr>
      <w:r>
        <w:rPr>
          <w:rFonts w:ascii="Calibri" w:hAnsi="Calibri"/>
          <w:b w:val="0"/>
          <w:i w:val="0"/>
          <w:color w:val="000000"/>
          <w:sz w:val="22"/>
          <w:u w:val="none"/>
        </w:rPr>
        <w:t>What happens at the molecular level during a neutralization reaction, and what products are formed?</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Arrhenius and Bronsted-Lowry Theories of Acids and Bases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define acids and bases according to both the...</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Arrhenius and Bronsted-Lowry Theories of Acids and Bases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define acids and bases according to both the Arrhenius and...</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Arrhenius and Bronsted-Lowry Theories of Acids and Bases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define acids and bases according to both the Arr...</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pH Scale, Indicators, and pH Calculations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use the pH scale to classify solutions as ac...</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pH Scale, Indicators, and pH Calculations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use the pH scale to classify solutions as acidic, basic, o...</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pH Scale, Indicators, and pH Calculations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use the pH scale to classify solutions as acidic...</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Neutralization Reactions and Titration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write balanced equations for neutralization ...</w:t>
            </w:r>
          </w:p>
        </w:tc>
      </w:tr>
      <w:tr>
        <w:tc>
          <w:tcPr>
            <w:tcW w:type="dxa" w:w="1008"/>
            <w:shd w:fill="F2F2F2" w:val="clear"/>
          </w:tcPr>
          <w:p>
            <w:r/>
            <w:r>
              <w:rPr>
                <w:rFonts w:ascii="Calibri" w:hAnsi="Calibri"/>
                <w:b w:val="0"/>
                <w:i w:val="0"/>
                <w:color w:val="000000"/>
                <w:sz w:val="22"/>
                <w:u w:val="none"/>
              </w:rPr>
              <w:t>8</w:t>
            </w:r>
          </w:p>
        </w:tc>
        <w:tc>
          <w:tcPr>
            <w:tcW w:type="dxa" w:w="2880"/>
            <w:shd w:fill="F2F2F2" w:val="clear"/>
          </w:tcPr>
          <w:p>
            <w:r/>
            <w:r>
              <w:rPr>
                <w:rFonts w:ascii="Calibri" w:hAnsi="Calibri"/>
                <w:b w:val="0"/>
                <w:i w:val="0"/>
                <w:color w:val="000000"/>
                <w:sz w:val="22"/>
                <w:u w:val="none"/>
              </w:rPr>
              <w:t>Neutralization Reactions and Titration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write balanced equations for neutralization reactions, pre...</w:t>
            </w:r>
          </w:p>
        </w:tc>
      </w:tr>
      <w:tr>
        <w:tc>
          <w:tcPr>
            <w:tcW w:type="dxa" w:w="1008"/>
          </w:tcPr>
          <w:p>
            <w:r/>
            <w:r>
              <w:rPr>
                <w:rFonts w:ascii="Calibri" w:hAnsi="Calibri"/>
                <w:b w:val="0"/>
                <w:i w:val="0"/>
                <w:color w:val="000000"/>
                <w:sz w:val="22"/>
                <w:u w:val="none"/>
              </w:rPr>
              <w:t>9</w:t>
            </w:r>
          </w:p>
        </w:tc>
        <w:tc>
          <w:tcPr>
            <w:tcW w:type="dxa" w:w="2880"/>
          </w:tcPr>
          <w:p>
            <w:r/>
            <w:r>
              <w:rPr>
                <w:rFonts w:ascii="Calibri" w:hAnsi="Calibri"/>
                <w:b w:val="0"/>
                <w:i w:val="0"/>
                <w:color w:val="000000"/>
                <w:sz w:val="22"/>
                <w:u w:val="none"/>
              </w:rPr>
              <w:t>Neutralization Reactions and Titration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write balanced equations for neutralization reac...</w:t>
            </w:r>
          </w:p>
        </w:tc>
      </w:tr>
      <w:tr>
        <w:tc>
          <w:tcPr>
            <w:tcW w:type="dxa" w:w="1008"/>
            <w:shd w:fill="F2F2F2" w:val="clear"/>
          </w:tcPr>
          <w:p>
            <w:r/>
            <w:r>
              <w:rPr>
                <w:rFonts w:ascii="Calibri" w:hAnsi="Calibri"/>
                <w:b w:val="0"/>
                <w:i w:val="0"/>
                <w:color w:val="000000"/>
                <w:sz w:val="22"/>
                <w:u w:val="none"/>
              </w:rPr>
              <w:t>10</w:t>
            </w:r>
          </w:p>
        </w:tc>
        <w:tc>
          <w:tcPr>
            <w:tcW w:type="dxa" w:w="2880"/>
            <w:shd w:fill="F2F2F2" w:val="clear"/>
          </w:tcPr>
          <w:p>
            <w:r/>
            <w:r>
              <w:rPr>
                <w:rFonts w:ascii="Calibri" w:hAnsi="Calibri"/>
                <w:b w:val="0"/>
                <w:i w:val="0"/>
                <w:color w:val="000000"/>
                <w:sz w:val="22"/>
                <w:u w:val="none"/>
              </w:rPr>
              <w:t>Salt Formation, Hydrolysis, and Acid-Base Review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predict whether a salt solution will be acid...</w:t>
            </w:r>
          </w:p>
        </w:tc>
      </w:tr>
      <w:tr>
        <w:tc>
          <w:tcPr>
            <w:tcW w:type="dxa" w:w="1008"/>
          </w:tcPr>
          <w:p>
            <w:r/>
            <w:r>
              <w:rPr>
                <w:rFonts w:ascii="Calibri" w:hAnsi="Calibri"/>
                <w:b w:val="0"/>
                <w:i w:val="0"/>
                <w:color w:val="000000"/>
                <w:sz w:val="22"/>
                <w:u w:val="none"/>
              </w:rPr>
              <w:t>11</w:t>
            </w:r>
          </w:p>
        </w:tc>
        <w:tc>
          <w:tcPr>
            <w:tcW w:type="dxa" w:w="2880"/>
          </w:tcPr>
          <w:p>
            <w:r/>
            <w:r>
              <w:rPr>
                <w:rFonts w:ascii="Calibri" w:hAnsi="Calibri"/>
                <w:b w:val="0"/>
                <w:i w:val="0"/>
                <w:color w:val="000000"/>
                <w:sz w:val="22"/>
                <w:u w:val="none"/>
              </w:rPr>
              <w:t>Salt Formation, Hydrolysis, and Acid-Base Review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predict whether a salt solution will be acidic, basic, or ...</w:t>
            </w:r>
          </w:p>
        </w:tc>
      </w:tr>
      <w:tr>
        <w:tc>
          <w:tcPr>
            <w:tcW w:type="dxa" w:w="1008"/>
            <w:shd w:fill="F2F2F2" w:val="clear"/>
          </w:tcPr>
          <w:p>
            <w:r/>
            <w:r>
              <w:rPr>
                <w:rFonts w:ascii="Calibri" w:hAnsi="Calibri"/>
                <w:b w:val="0"/>
                <w:i w:val="0"/>
                <w:color w:val="000000"/>
                <w:sz w:val="22"/>
                <w:u w:val="none"/>
              </w:rPr>
              <w:t>12</w:t>
            </w:r>
          </w:p>
        </w:tc>
        <w:tc>
          <w:tcPr>
            <w:tcW w:type="dxa" w:w="2880"/>
            <w:shd w:fill="F2F2F2" w:val="clear"/>
          </w:tcPr>
          <w:p>
            <w:r/>
            <w:r>
              <w:rPr>
                <w:rFonts w:ascii="Calibri" w:hAnsi="Calibri"/>
                <w:b w:val="0"/>
                <w:i w:val="0"/>
                <w:color w:val="000000"/>
                <w:sz w:val="22"/>
                <w:u w:val="none"/>
              </w:rPr>
              <w:t>Salt Formation, Hydrolysis, and Acid-Base Review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predict whether a salt solution will be acidic, ...</w:t>
            </w:r>
          </w:p>
        </w:tc>
      </w:tr>
      <w:tr>
        <w:tc>
          <w:tcPr>
            <w:tcW w:type="dxa" w:w="1008"/>
          </w:tcPr>
          <w:p>
            <w:r/>
            <w:r>
              <w:rPr>
                <w:rFonts w:ascii="Calibri" w:hAnsi="Calibri"/>
                <w:b w:val="0"/>
                <w:i w:val="0"/>
                <w:color w:val="000000"/>
                <w:sz w:val="22"/>
                <w:u w:val="none"/>
              </w:rPr>
              <w:t>13</w:t>
            </w:r>
          </w:p>
        </w:tc>
        <w:tc>
          <w:tcPr>
            <w:tcW w:type="dxa" w:w="2880"/>
          </w:tcPr>
          <w:p>
            <w:r/>
            <w:r>
              <w:rPr>
                <w:rFonts w:ascii="Calibri" w:hAnsi="Calibri"/>
                <w:b w:val="0"/>
                <w:i w:val="0"/>
                <w:color w:val="000000"/>
                <w:sz w:val="22"/>
                <w:u w:val="none"/>
              </w:rPr>
              <w:t>Acid-Base Indicators Lab: Identifying Unknown Solutions</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use acid-base indicators to classify unknown solutions as acidic, basic, or neutral.</w:t>
            </w:r>
          </w:p>
        </w:tc>
      </w:tr>
      <w:tr>
        <w:tc>
          <w:tcPr>
            <w:tcW w:type="dxa" w:w="1008"/>
            <w:shd w:fill="F2F2F2" w:val="clear"/>
          </w:tcPr>
          <w:p>
            <w:r/>
            <w:r>
              <w:rPr>
                <w:rFonts w:ascii="Calibri" w:hAnsi="Calibri"/>
                <w:b w:val="0"/>
                <w:i w:val="0"/>
                <w:color w:val="000000"/>
                <w:sz w:val="22"/>
                <w:u w:val="none"/>
              </w:rPr>
              <w:t>14</w:t>
            </w:r>
          </w:p>
        </w:tc>
        <w:tc>
          <w:tcPr>
            <w:tcW w:type="dxa" w:w="2880"/>
            <w:shd w:fill="F2F2F2" w:val="clear"/>
          </w:tcPr>
          <w:p>
            <w:r/>
            <w:r>
              <w:rPr>
                <w:rFonts w:ascii="Calibri" w:hAnsi="Calibri"/>
                <w:b w:val="0"/>
                <w:i w:val="0"/>
                <w:color w:val="000000"/>
                <w:sz w:val="22"/>
                <w:u w:val="none"/>
              </w:rPr>
              <w:t>Titration Lab: Determining Acid Concentration</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perform an acid-base titration to determine the concentration of an unknown acid.</w:t>
            </w:r>
          </w:p>
        </w:tc>
      </w:tr>
      <w:tr>
        <w:tc>
          <w:tcPr>
            <w:tcW w:type="dxa" w:w="1008"/>
          </w:tcPr>
          <w:p>
            <w:r/>
            <w:r>
              <w:rPr>
                <w:rFonts w:ascii="Calibri" w:hAnsi="Calibri"/>
                <w:b w:val="0"/>
                <w:i w:val="0"/>
                <w:color w:val="000000"/>
                <w:sz w:val="22"/>
                <w:u w:val="none"/>
              </w:rPr>
              <w:t>15</w:t>
            </w:r>
          </w:p>
        </w:tc>
        <w:tc>
          <w:tcPr>
            <w:tcW w:type="dxa" w:w="2880"/>
          </w:tcPr>
          <w:p>
            <w:r/>
            <w:r>
              <w:rPr>
                <w:rFonts w:ascii="Calibri" w:hAnsi="Calibri"/>
                <w:b w:val="0"/>
                <w:i w:val="0"/>
                <w:color w:val="000000"/>
                <w:sz w:val="22"/>
                <w:u w:val="none"/>
              </w:rPr>
              <w:t>Acid-Base Stoichiometry and Problem Solving</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solve acid-base stoichiometry problems including neutralization calculations and buffer c...</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HS-PS1-11</w:t>
              <w:br/>
              <w:t>HS-PS1-7</w:t>
            </w:r>
          </w:p>
        </w:tc>
        <w:tc>
          <w:tcPr>
            <w:tcW w:type="dxa" w:w="2880"/>
          </w:tcPr>
          <w:p>
            <w:r/>
            <w:r>
              <w:rPr>
                <w:rFonts w:ascii="Calibri" w:hAnsi="Calibri"/>
                <w:b w:val="0"/>
                <w:i w:val="0"/>
                <w:color w:val="000000"/>
                <w:sz w:val="22"/>
                <w:u w:val="none"/>
              </w:rPr>
              <w:t>Analyzing and Interpreting Data</w:t>
              <w:br/>
              <w:t>Engaging in Argument from Evidence</w:t>
              <w:br/>
              <w:t>Planning and Carrying Out Investigations</w:t>
              <w:br/>
              <w:t>Using Mathematics and Computational Thinking</w:t>
            </w:r>
          </w:p>
        </w:tc>
        <w:tc>
          <w:tcPr>
            <w:tcW w:type="dxa" w:w="2160"/>
          </w:tcPr>
          <w:p>
            <w:r/>
            <w:r>
              <w:rPr>
                <w:rFonts w:ascii="Calibri" w:hAnsi="Calibri"/>
                <w:b w:val="0"/>
                <w:i w:val="0"/>
                <w:color w:val="000000"/>
                <w:sz w:val="22"/>
                <w:u w:val="none"/>
              </w:rPr>
              <w:t>Cause and Effect</w:t>
              <w:br/>
              <w:t>Patterns</w:t>
              <w:b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explore acids and bases through cultural and environmental lenses — the chemistry of traditional food preservation (pickling in vinegar across many cultures, lime in nixtamalization), the pH of natural dyes used in textile traditions from India and Central America, and the environmental justice implications of acid rain on communities near industrial zones.</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Exit tickets on acid-base identification</w:t>
      </w:r>
    </w:p>
    <w:p>
      <w:pPr>
        <w:pStyle w:val="ListBullet"/>
        <w:spacing w:before="20" w:after="20"/>
      </w:pPr>
      <w:r>
        <w:rPr>
          <w:rFonts w:ascii="Calibri" w:hAnsi="Calibri"/>
          <w:b w:val="0"/>
          <w:i w:val="0"/>
          <w:color w:val="000000"/>
          <w:sz w:val="22"/>
          <w:u w:val="none"/>
        </w:rPr>
        <w:t>pH calculation practice quiz</w:t>
      </w:r>
    </w:p>
    <w:p>
      <w:pPr>
        <w:pStyle w:val="ListBullet"/>
        <w:spacing w:before="20" w:after="20"/>
      </w:pPr>
      <w:r>
        <w:rPr>
          <w:rFonts w:ascii="Calibri" w:hAnsi="Calibri"/>
          <w:b w:val="0"/>
          <w:i w:val="0"/>
          <w:color w:val="000000"/>
          <w:sz w:val="22"/>
          <w:u w:val="none"/>
        </w:rPr>
        <w:t>Neutralization equation balancing checks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Acid-Base Titration Lab Report</w:t>
      </w:r>
    </w:p>
    <w:p>
      <w:pPr>
        <w:pStyle w:val="ListBullet"/>
        <w:spacing w:before="20" w:after="20"/>
      </w:pPr>
      <w:r>
        <w:rPr>
          <w:rFonts w:ascii="Calibri" w:hAnsi="Calibri"/>
          <w:b w:val="0"/>
          <w:i w:val="0"/>
          <w:color w:val="000000"/>
          <w:sz w:val="22"/>
          <w:u w:val="none"/>
        </w:rPr>
        <w:t>Unit 8 Exam: Acids, Bases &amp; Salts</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8: Acid-Base Titration — Determining the Concentration of an Unknown Acid</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