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hd w:fill="1F4E79" w:val="clear"/>
        <w:spacing w:before="80" w:after="40"/>
        <w:jc w:val="center"/>
      </w:pPr>
      <w:r>
        <w:rPr>
          <w:rFonts w:ascii="Calibri" w:hAnsi="Calibri"/>
          <w:b/>
          <w:i w:val="0"/>
          <w:color w:val="FFFFFF"/>
          <w:sz w:val="28"/>
          <w:u w:val="none"/>
        </w:rPr>
        <w:t>Physics</w:t>
        <w:br/>
      </w:r>
      <w:r>
        <w:rPr>
          <w:rFonts w:ascii="Calibri" w:hAnsi="Calibri"/>
          <w:b/>
          <w:i w:val="0"/>
          <w:color w:val="FFFFFF"/>
          <w:sz w:val="24"/>
          <w:u w:val="none"/>
        </w:rPr>
        <w:t>Unit 1: Scientific Inquiry, Measurement &amp; Vectors</w:t>
        <w:br/>
        <w:t>Lesson 5: Measurement, SI Units, and Significant Figures (Day 3 of 3)</w:t>
        <w:br/>
      </w:r>
      <w:r>
        <w:rPr>
          <w:rFonts w:ascii="Calibri" w:hAnsi="Calibri"/>
          <w:b w:val="0"/>
          <w:i/>
          <w:color w:val="D6E4F0"/>
          <w:sz w:val="22"/>
          <w:u w:val="none"/>
        </w:rPr>
        <w:t>PE: HS-PS2-1</w:t>
      </w:r>
    </w:p>
    <w:p>
      <w:pPr>
        <w:spacing w:before="160" w:after="80"/>
        <w:jc w:val="left"/>
      </w:pPr>
      <w:r>
        <w:rPr>
          <w:rFonts w:ascii="Calibri" w:hAnsi="Calibri"/>
          <w:b/>
          <w:i w:val="0"/>
          <w:color w:val="1F4E79"/>
          <w:sz w:val="24"/>
          <w:u w:val="none"/>
        </w:rPr>
        <w:t>Opening Circle (2-3 min)</w:t>
      </w:r>
    </w:p>
    <w:p>
      <w:pPr>
        <w:spacing w:before="80" w:after="80"/>
        <w:shd w:fill="D6E4F0" w:val="clear"/>
      </w:pPr>
      <w:r>
        <w:rPr>
          <w:rFonts w:ascii="Calibri" w:hAnsi="Calibri"/>
          <w:b/>
          <w:i w:val="0"/>
          <w:color w:val="1F4E79"/>
          <w:sz w:val="22"/>
          <w:u w:val="none"/>
        </w:rPr>
        <w:t xml:space="preserve">Community Prompt: </w:t>
      </w:r>
      <w:r>
        <w:rPr>
          <w:rFonts w:ascii="Calibri" w:hAnsi="Calibri"/>
          <w:b w:val="0"/>
          <w:i w:val="0"/>
          <w:color w:val="000000"/>
          <w:sz w:val="22"/>
          <w:u w:val="none"/>
        </w:rPr>
        <w:t>If you could teach one thing from this week's lessons to a younger student, what would it be?</w:t>
      </w:r>
    </w:p>
    <w:p>
      <w:pPr>
        <w:spacing w:before="160" w:after="80"/>
        <w:jc w:val="left"/>
      </w:pPr>
      <w:r>
        <w:rPr>
          <w:rFonts w:ascii="Calibri" w:hAnsi="Calibri"/>
          <w:b/>
          <w:i w:val="0"/>
          <w:color w:val="1F4E79"/>
          <w:sz w:val="24"/>
          <w:u w:val="none"/>
        </w:rPr>
        <w:t>Do Now (3-5 min)</w:t>
      </w:r>
    </w:p>
    <w:p>
      <w:pPr>
        <w:spacing w:before="80" w:after="80"/>
        <w:shd w:fill="E2EFDA" w:val="clear"/>
      </w:pPr>
      <w:r>
        <w:rPr>
          <w:rFonts w:ascii="Calibri" w:hAnsi="Calibri"/>
          <w:b/>
          <w:i w:val="0"/>
          <w:color w:val="1F4E79"/>
          <w:sz w:val="22"/>
          <w:u w:val="none"/>
        </w:rPr>
        <w:t xml:space="preserve">Activity: </w:t>
      </w:r>
      <w:r>
        <w:rPr>
          <w:rFonts w:ascii="Calibri" w:hAnsi="Calibri"/>
          <w:b w:val="0"/>
          <w:i w:val="0"/>
          <w:color w:val="000000"/>
          <w:sz w:val="22"/>
          <w:u w:val="none"/>
        </w:rPr>
        <w:t>Review: Using what you've learned this week, explain one key idea from yesterday about how to apply and compare concepts and take measurements using appropriate SI units, determine the correct number of significant figures, and calculate percent error.</w:t>
      </w:r>
    </w:p>
    <w:p>
      <w:pPr>
        <w:spacing w:before="40" w:after="40"/>
        <w:pBdr>
          <w:bottom w:val="single" w:sz="4" w:space="1" w:color="1F4E79"/>
        </w:pBdr>
      </w:pPr>
    </w:p>
    <w:p>
      <w:pPr>
        <w:spacing w:before="120" w:after="120"/>
        <w:jc w:val="left"/>
      </w:pPr>
      <w:r>
        <w:rPr>
          <w:rFonts w:ascii="Calibri" w:hAnsi="Calibri"/>
          <w:b/>
          <w:i w:val="0"/>
          <w:color w:val="1F4E79"/>
          <w:sz w:val="24"/>
          <w:u w:val="none"/>
        </w:rPr>
        <w:t xml:space="preserve">Learning Target: </w:t>
      </w:r>
      <w:r>
        <w:rPr>
          <w:rFonts w:ascii="Calibri" w:hAnsi="Calibri"/>
          <w:b/>
          <w:i w:val="0"/>
          <w:color w:val="000000"/>
          <w:sz w:val="24"/>
          <w:u w:val="none"/>
        </w:rPr>
        <w:t>At the end of 42 minutes I can evaluate and explain my understanding to take measurements using appropriate SI units, determine the correct number of significant figures, and calculate percent error</w:t>
      </w:r>
    </w:p>
    <w:p>
      <w:pPr>
        <w:spacing w:before="40" w:after="40"/>
        <w:pBdr>
          <w:bottom w:val="single" w:sz="4" w:space="1" w:color="1F4E79"/>
        </w:pBdr>
      </w:pPr>
    </w:p>
    <w:p>
      <w:pPr>
        <w:spacing w:before="160" w:after="80"/>
        <w:jc w:val="left"/>
      </w:pPr>
      <w:r>
        <w:rPr>
          <w:rFonts w:ascii="Calibri" w:hAnsi="Calibri"/>
          <w:b/>
          <w:i w:val="0"/>
          <w:color w:val="1F4E79"/>
          <w:sz w:val="24"/>
          <w:u w:val="none"/>
        </w:rPr>
        <w:t>Standards Alignment</w:t>
      </w:r>
    </w:p>
    <w:tbl>
      <w:tblPr>
        <w:tblStyle w:val="TableGrid"/>
        <w:tblW w:type="auto" w:w="0"/>
        <w:jc w:val="center"/>
        <w:tblLook w:firstColumn="1" w:firstRow="1" w:lastColumn="0" w:lastRow="0" w:noHBand="0" w:noVBand="1" w:val="04A0"/>
      </w:tblPr>
      <w:tblGrid>
        <w:gridCol w:w="2520"/>
        <w:gridCol w:w="2520"/>
        <w:gridCol w:w="2520"/>
        <w:gridCol w:w="2520"/>
      </w:tblGrid>
      <w:tr>
        <w:tc>
          <w:tcPr>
            <w:tcW w:type="dxa" w:w="1728"/>
            <w:shd w:fill="1F4E79" w:val="clear"/>
          </w:tcPr>
          <w:p>
            <w:pPr>
              <w:jc w:val="center"/>
            </w:pPr>
            <w:r/>
            <w:r>
              <w:rPr>
                <w:rFonts w:ascii="Calibri" w:hAnsi="Calibri"/>
                <w:b/>
                <w:i w:val="0"/>
                <w:color w:val="FFFFFF"/>
                <w:sz w:val="22"/>
                <w:u w:val="none"/>
              </w:rPr>
              <w:t>PE</w:t>
            </w:r>
          </w:p>
        </w:tc>
        <w:tc>
          <w:tcPr>
            <w:tcW w:type="dxa" w:w="2880"/>
            <w:shd w:fill="1F4E79" w:val="clear"/>
          </w:tcPr>
          <w:p>
            <w:pPr>
              <w:jc w:val="center"/>
            </w:pPr>
            <w:r/>
            <w:r>
              <w:rPr>
                <w:rFonts w:ascii="Calibri" w:hAnsi="Calibri"/>
                <w:b/>
                <w:i w:val="0"/>
                <w:color w:val="FFFFFF"/>
                <w:sz w:val="22"/>
                <w:u w:val="none"/>
              </w:rPr>
              <w:t>SEP</w:t>
            </w:r>
          </w:p>
        </w:tc>
        <w:tc>
          <w:tcPr>
            <w:tcW w:type="dxa" w:w="2160"/>
            <w:shd w:fill="1F4E79" w:val="clear"/>
          </w:tcPr>
          <w:p>
            <w:pPr>
              <w:jc w:val="center"/>
            </w:pPr>
            <w:r/>
            <w:r>
              <w:rPr>
                <w:rFonts w:ascii="Calibri" w:hAnsi="Calibri"/>
                <w:b/>
                <w:i w:val="0"/>
                <w:color w:val="FFFFFF"/>
                <w:sz w:val="22"/>
                <w:u w:val="none"/>
              </w:rPr>
              <w:t>CCC</w:t>
            </w:r>
          </w:p>
        </w:tc>
        <w:tc>
          <w:tcPr>
            <w:tcW w:type="dxa" w:w="3600"/>
            <w:shd w:fill="1F4E79" w:val="clear"/>
          </w:tcPr>
          <w:p>
            <w:pPr>
              <w:jc w:val="center"/>
            </w:pPr>
            <w:r/>
            <w:r>
              <w:rPr>
                <w:rFonts w:ascii="Calibri" w:hAnsi="Calibri"/>
                <w:b/>
                <w:i w:val="0"/>
                <w:color w:val="FFFFFF"/>
                <w:sz w:val="22"/>
                <w:u w:val="none"/>
              </w:rPr>
              <w:t>DCI</w:t>
            </w:r>
          </w:p>
        </w:tc>
      </w:tr>
      <w:tr>
        <w:tc>
          <w:tcPr>
            <w:tcW w:type="dxa" w:w="1728"/>
          </w:tcPr>
          <w:p>
            <w:r/>
            <w:r>
              <w:rPr>
                <w:rFonts w:ascii="Calibri" w:hAnsi="Calibri"/>
                <w:b w:val="0"/>
                <w:i w:val="0"/>
                <w:color w:val="000000"/>
                <w:sz w:val="22"/>
                <w:u w:val="none"/>
              </w:rPr>
              <w:t>HS-PS2-1</w:t>
            </w:r>
          </w:p>
        </w:tc>
        <w:tc>
          <w:tcPr>
            <w:tcW w:type="dxa" w:w="2880"/>
          </w:tcPr>
          <w:p>
            <w:r/>
            <w:r>
              <w:rPr>
                <w:rFonts w:ascii="Calibri" w:hAnsi="Calibri"/>
                <w:b w:val="0"/>
                <w:i w:val="0"/>
                <w:color w:val="000000"/>
                <w:sz w:val="22"/>
                <w:u w:val="none"/>
              </w:rPr>
              <w:t>Using Mathematics and Computational Thinking</w:t>
              <w:br/>
              <w:t>Planning and Carrying Out Investigations</w:t>
            </w:r>
          </w:p>
        </w:tc>
        <w:tc>
          <w:tcPr>
            <w:tcW w:type="dxa" w:w="2160"/>
          </w:tcPr>
          <w:p>
            <w:r/>
            <w:r>
              <w:rPr>
                <w:rFonts w:ascii="Calibri" w:hAnsi="Calibri"/>
                <w:b w:val="0"/>
                <w:i w:val="0"/>
                <w:color w:val="000000"/>
                <w:sz w:val="22"/>
                <w:u w:val="none"/>
              </w:rPr>
              <w:t>Scale, Proportion, and Quantity</w:t>
            </w:r>
          </w:p>
        </w:tc>
        <w:tc>
          <w:tcPr>
            <w:tcW w:type="dxa" w:w="3600"/>
          </w:tcPr>
          <w:p>
            <w:r/>
            <w:r>
              <w:rPr>
                <w:rFonts w:ascii="Calibri" w:hAnsi="Calibri"/>
                <w:b w:val="0"/>
                <w:i w:val="0"/>
                <w:color w:val="000000"/>
                <w:sz w:val="22"/>
                <w:u w:val="none"/>
              </w:rPr>
              <w:t>PS2.A: Forces and Motion</w:t>
            </w:r>
          </w:p>
        </w:tc>
      </w:tr>
    </w:tbl>
    <w:p/>
    <w:p>
      <w:pPr>
        <w:spacing w:before="160" w:after="80"/>
        <w:jc w:val="left"/>
      </w:pPr>
      <w:r>
        <w:rPr>
          <w:rFonts w:ascii="Calibri" w:hAnsi="Calibri"/>
          <w:b/>
          <w:i w:val="0"/>
          <w:color w:val="1F4E79"/>
          <w:sz w:val="24"/>
          <w:u w:val="none"/>
        </w:rPr>
        <w:t>Materials &amp; Preparation</w:t>
      </w:r>
    </w:p>
    <w:p>
      <w:pPr>
        <w:pStyle w:val="ListBullet"/>
        <w:spacing w:before="20" w:after="20"/>
      </w:pPr>
      <w:r>
        <w:rPr>
          <w:rFonts w:ascii="Calibri" w:hAnsi="Calibri"/>
          <w:b w:val="0"/>
          <w:i w:val="0"/>
          <w:color w:val="000000"/>
          <w:sz w:val="22"/>
          <w:u w:val="none"/>
        </w:rPr>
        <w:t>Metric rulers (1 per student)</w:t>
      </w:r>
    </w:p>
    <w:p>
      <w:pPr>
        <w:pStyle w:val="ListBullet"/>
        <w:spacing w:before="20" w:after="20"/>
      </w:pPr>
      <w:r>
        <w:rPr>
          <w:rFonts w:ascii="Calibri" w:hAnsi="Calibri"/>
          <w:b w:val="0"/>
          <w:i w:val="0"/>
          <w:color w:val="000000"/>
          <w:sz w:val="22"/>
          <w:u w:val="none"/>
        </w:rPr>
        <w:t>Triple-beam balances (1 per group)</w:t>
      </w:r>
    </w:p>
    <w:p>
      <w:pPr>
        <w:pStyle w:val="ListBullet"/>
        <w:spacing w:before="20" w:after="20"/>
      </w:pPr>
      <w:r>
        <w:rPr>
          <w:rFonts w:ascii="Calibri" w:hAnsi="Calibri"/>
          <w:b w:val="0"/>
          <w:i w:val="0"/>
          <w:color w:val="000000"/>
          <w:sz w:val="22"/>
          <w:u w:val="none"/>
        </w:rPr>
        <w:t>Graduated cylinders — 10 mL and 100 mL (1 of each per group)</w:t>
      </w:r>
    </w:p>
    <w:p>
      <w:pPr>
        <w:pStyle w:val="ListBullet"/>
        <w:spacing w:before="20" w:after="20"/>
      </w:pPr>
      <w:r>
        <w:rPr>
          <w:rFonts w:ascii="Calibri" w:hAnsi="Calibri"/>
          <w:b w:val="0"/>
          <w:i w:val="0"/>
          <w:color w:val="000000"/>
          <w:sz w:val="22"/>
          <w:u w:val="none"/>
        </w:rPr>
        <w:t>Irregular objects for volume measurement (metal bolts, small rocks)</w:t>
      </w:r>
    </w:p>
    <w:p>
      <w:pPr>
        <w:pStyle w:val="ListBullet"/>
        <w:spacing w:before="20" w:after="20"/>
      </w:pPr>
      <w:r>
        <w:rPr>
          <w:rFonts w:ascii="Calibri" w:hAnsi="Calibri"/>
          <w:b w:val="0"/>
          <w:i w:val="0"/>
          <w:color w:val="000000"/>
          <w:sz w:val="22"/>
          <w:u w:val="none"/>
        </w:rPr>
        <w:t>Significant Figures reference card (printed)</w:t>
      </w:r>
    </w:p>
    <w:p>
      <w:pPr>
        <w:pStyle w:val="ListBullet"/>
        <w:spacing w:before="20" w:after="20"/>
      </w:pPr>
      <w:r>
        <w:rPr>
          <w:rFonts w:ascii="Calibri" w:hAnsi="Calibri"/>
          <w:b w:val="0"/>
          <w:i w:val="0"/>
          <w:color w:val="000000"/>
          <w:sz w:val="22"/>
          <w:u w:val="none"/>
        </w:rPr>
        <w:t>Scientific calculators (1 per student)</w:t>
      </w:r>
    </w:p>
    <w:p>
      <w:pPr>
        <w:pStyle w:val="ListBullet"/>
        <w:spacing w:before="20" w:after="20"/>
      </w:pPr>
      <w:r>
        <w:rPr>
          <w:rFonts w:ascii="Calibri" w:hAnsi="Calibri"/>
          <w:b w:val="0"/>
          <w:i w:val="0"/>
          <w:color w:val="000000"/>
          <w:sz w:val="22"/>
          <w:u w:val="none"/>
        </w:rPr>
        <w:t>Physics Reference Table (NYSED)</w:t>
      </w:r>
    </w:p>
    <w:p>
      <w:pPr>
        <w:spacing w:before="160" w:after="80"/>
        <w:jc w:val="left"/>
      </w:pPr>
      <w:r>
        <w:rPr>
          <w:rFonts w:ascii="Calibri" w:hAnsi="Calibri"/>
          <w:b/>
          <w:i w:val="0"/>
          <w:color w:val="1F4E79"/>
          <w:sz w:val="24"/>
          <w:u w:val="none"/>
        </w:rPr>
        <w:t>5E Instructional Sequence</w:t>
      </w:r>
    </w:p>
    <w:p>
      <w:pPr>
        <w:spacing w:before="80" w:after="40"/>
      </w:pPr>
      <w:r>
        <w:rPr>
          <w:rFonts w:ascii="Calibri" w:hAnsi="Calibri"/>
          <w:b/>
          <w:i w:val="0"/>
          <w:color w:val="1F4E79"/>
          <w:sz w:val="22"/>
          <w:u w:val="none"/>
        </w:rPr>
        <w:t xml:space="preserve">Engage (5 min): </w:t>
      </w:r>
      <w:r>
        <w:rPr>
          <w:rFonts w:ascii="Calibri" w:hAnsi="Calibri"/>
          <w:b w:val="0"/>
          <w:i w:val="0"/>
          <w:color w:val="000000"/>
          <w:sz w:val="22"/>
          <w:u w:val="none"/>
        </w:rPr>
        <w:t>Present a novel scenario that requires synthesis of concepts from Days 1-2. Building on previous days: Present the 1999 Mars Climate Orbiter disaster: a $125 million spacecraft destroyed because one engineering team used pounds and another used newtons. Display the headline and ask: How could a unit error destroy a spacecraft? Students turn-and-talk, then share out.</w:t>
      </w:r>
    </w:p>
    <w:p>
      <w:pPr>
        <w:spacing w:before="80" w:after="40"/>
      </w:pPr>
      <w:r>
        <w:rPr>
          <w:rFonts w:ascii="Calibri" w:hAnsi="Calibri"/>
          <w:b/>
          <w:i w:val="0"/>
          <w:color w:val="1F4E79"/>
          <w:sz w:val="22"/>
          <w:u w:val="none"/>
        </w:rPr>
        <w:t xml:space="preserve">Explore (12 min): </w:t>
      </w:r>
      <w:r>
        <w:rPr>
          <w:rFonts w:ascii="Calibri" w:hAnsi="Calibri"/>
          <w:b w:val="0"/>
          <w:i w:val="0"/>
          <w:color w:val="000000"/>
          <w:sz w:val="22"/>
          <w:u w:val="none"/>
        </w:rPr>
        <w:t>CER activity — students construct evidence-based arguments about the topic. Building on previous days: Station rotation (4 stations, 3 min each): Station 1 — measure length of three objects with a ruler to the correct decimal place. Station 2 — find mass of three objects on a triple-beam balance. Station 3 — measure liquid volume in a graduated cylinder (reading the meniscus). Station 4 — find volume of an irregular solid by water displacement. Students record all measurements with correct units.</w:t>
      </w:r>
    </w:p>
    <w:p>
      <w:pPr>
        <w:spacing w:before="80" w:after="40"/>
      </w:pPr>
      <w:r>
        <w:rPr>
          <w:rFonts w:ascii="Calibri" w:hAnsi="Calibri"/>
          <w:b/>
          <w:i w:val="0"/>
          <w:color w:val="1F4E79"/>
          <w:sz w:val="22"/>
          <w:u w:val="none"/>
        </w:rPr>
        <w:t xml:space="preserve">Explain (8 min): </w:t>
      </w:r>
      <w:r>
        <w:rPr>
          <w:rFonts w:ascii="Calibri" w:hAnsi="Calibri"/>
          <w:b w:val="0"/>
          <w:i w:val="0"/>
          <w:color w:val="000000"/>
          <w:sz w:val="22"/>
          <w:u w:val="none"/>
        </w:rPr>
        <w:t>Whole-class discussion of CER responses; address remaining misconceptions. Building on previous days: Direct instruction on significant figures: five rules for counting sig figs, sig figs in calculations (multiplication/division — least sig figs; addition/subtraction — least decimal places). Then introduce percent error formula: % error = |measured - accepted| / accepted x 100%. Work through two examples as a class using the Physics Reference Table.</w:t>
      </w:r>
    </w:p>
    <w:p>
      <w:pPr>
        <w:spacing w:before="80" w:after="40"/>
      </w:pPr>
      <w:r>
        <w:rPr>
          <w:rFonts w:ascii="Calibri" w:hAnsi="Calibri"/>
          <w:b/>
          <w:i w:val="0"/>
          <w:color w:val="1F4E79"/>
          <w:sz w:val="22"/>
          <w:u w:val="none"/>
        </w:rPr>
        <w:t xml:space="preserve">Elaborate (7 min): </w:t>
      </w:r>
      <w:r>
        <w:rPr>
          <w:rFonts w:ascii="Calibri" w:hAnsi="Calibri"/>
          <w:b w:val="0"/>
          <w:i w:val="0"/>
          <w:color w:val="000000"/>
          <w:sz w:val="22"/>
          <w:u w:val="none"/>
        </w:rPr>
        <w:t>Extension or enrichment activity connecting to real-world applications. Building on previous days: Students calculate the density of their irregular solid using mass and volume data from stations. They express the answer with correct significant figures and calculate percent error against the accepted density value provided by the teacher.</w:t>
      </w:r>
    </w:p>
    <w:p>
      <w:pPr>
        <w:spacing w:before="80" w:after="40"/>
      </w:pPr>
      <w:r>
        <w:rPr>
          <w:rFonts w:ascii="Calibri" w:hAnsi="Calibri"/>
          <w:b/>
          <w:i w:val="0"/>
          <w:color w:val="1F4E79"/>
          <w:sz w:val="22"/>
          <w:u w:val="none"/>
        </w:rPr>
        <w:t xml:space="preserve">Evaluate (3 min): </w:t>
      </w:r>
      <w:r>
        <w:rPr>
          <w:rFonts w:ascii="Calibri" w:hAnsi="Calibri"/>
          <w:b w:val="0"/>
          <w:i w:val="0"/>
          <w:color w:val="000000"/>
          <w:sz w:val="22"/>
          <w:u w:val="none"/>
        </w:rPr>
        <w:t>Summative check — quiz or performance task covering all concepts from the sequence. Building on previous days: Exit ticket: (1) How many significant figures are in 0.00340 m? (2) A student measures the density of aluminum as 2.85 g/cm3. The accepted value is 2.70 g/cm3. Calculate the percent error.</w:t>
      </w:r>
    </w:p>
    <w:p/>
    <w:p>
      <w:pPr>
        <w:spacing w:before="160" w:after="80"/>
        <w:jc w:val="left"/>
      </w:pPr>
      <w:r>
        <w:rPr>
          <w:rFonts w:ascii="Calibri" w:hAnsi="Calibri"/>
          <w:b/>
          <w:i w:val="0"/>
          <w:color w:val="1F4E79"/>
          <w:sz w:val="24"/>
          <w:u w:val="none"/>
        </w:rPr>
        <w:t>Differentiation</w:t>
      </w:r>
    </w:p>
    <w:tbl>
      <w:tblPr>
        <w:tblStyle w:val="TableGrid"/>
        <w:tblW w:type="auto" w:w="0"/>
        <w:jc w:val="center"/>
        <w:tblLook w:firstColumn="1" w:firstRow="1" w:lastColumn="0" w:lastRow="0" w:noHBand="0" w:noVBand="1" w:val="04A0"/>
      </w:tblPr>
      <w:tblGrid>
        <w:gridCol w:w="5040"/>
        <w:gridCol w:w="5040"/>
      </w:tblGrid>
      <w:tr>
        <w:tc>
          <w:tcPr>
            <w:tcW w:type="dxa" w:w="2160"/>
            <w:shd w:fill="1F4E79" w:val="clear"/>
          </w:tcPr>
          <w:p>
            <w:pPr>
              <w:jc w:val="center"/>
            </w:pPr>
            <w:r/>
            <w:r>
              <w:rPr>
                <w:rFonts w:ascii="Calibri" w:hAnsi="Calibri"/>
                <w:b/>
                <w:i w:val="0"/>
                <w:color w:val="FFFFFF"/>
                <w:sz w:val="22"/>
                <w:u w:val="none"/>
              </w:rPr>
              <w:t>Level</w:t>
            </w:r>
          </w:p>
        </w:tc>
        <w:tc>
          <w:tcPr>
            <w:tcW w:type="dxa" w:w="7920"/>
            <w:shd w:fill="1F4E79" w:val="clear"/>
          </w:tcPr>
          <w:p>
            <w:pPr>
              <w:jc w:val="center"/>
            </w:pPr>
            <w:r/>
            <w:r>
              <w:rPr>
                <w:rFonts w:ascii="Calibri" w:hAnsi="Calibri"/>
                <w:b/>
                <w:i w:val="0"/>
                <w:color w:val="FFFFFF"/>
                <w:sz w:val="22"/>
                <w:u w:val="none"/>
              </w:rPr>
              <w:t>Accommodations / Modifications</w:t>
            </w:r>
          </w:p>
        </w:tc>
      </w:tr>
      <w:tr>
        <w:tc>
          <w:tcPr>
            <w:tcW w:type="dxa" w:w="2160"/>
          </w:tcPr>
          <w:p>
            <w:r/>
            <w:r>
              <w:rPr>
                <w:rFonts w:ascii="Calibri" w:hAnsi="Calibri"/>
                <w:b w:val="0"/>
                <w:i w:val="0"/>
                <w:color w:val="000000"/>
                <w:sz w:val="22"/>
                <w:u w:val="none"/>
              </w:rPr>
              <w:t>Approaching</w:t>
            </w:r>
          </w:p>
        </w:tc>
        <w:tc>
          <w:tcPr>
            <w:tcW w:type="dxa" w:w="7920"/>
          </w:tcPr>
          <w:p>
            <w:r/>
            <w:r>
              <w:rPr>
                <w:rFonts w:ascii="Calibri" w:hAnsi="Calibri"/>
                <w:b w:val="0"/>
                <w:i w:val="0"/>
                <w:color w:val="000000"/>
                <w:sz w:val="22"/>
                <w:u w:val="none"/>
              </w:rPr>
              <w:t>Review key concepts from the full sequence before assessment. Provide a significant figures decision flowchart (Is it a non-zero digit? -&gt; Always significant. Is it a zero? -&gt; Follow these rules...). Pre-label station recording sheets with units and decimal place guides.</w:t>
            </w:r>
          </w:p>
        </w:tc>
      </w:tr>
      <w:tr>
        <w:tc>
          <w:tcPr>
            <w:tcW w:type="dxa" w:w="2160"/>
            <w:shd w:fill="F2F2F2" w:val="clear"/>
          </w:tcPr>
          <w:p>
            <w:r/>
            <w:r>
              <w:rPr>
                <w:rFonts w:ascii="Calibri" w:hAnsi="Calibri"/>
                <w:b w:val="0"/>
                <w:i w:val="0"/>
                <w:color w:val="000000"/>
                <w:sz w:val="22"/>
                <w:u w:val="none"/>
              </w:rPr>
              <w:t>On-Level</w:t>
            </w:r>
          </w:p>
        </w:tc>
        <w:tc>
          <w:tcPr>
            <w:tcW w:type="dxa" w:w="7920"/>
            <w:shd w:fill="F2F2F2" w:val="clear"/>
          </w:tcPr>
          <w:p>
            <w:r/>
            <w:r>
              <w:rPr>
                <w:rFonts w:ascii="Calibri" w:hAnsi="Calibri"/>
                <w:b w:val="0"/>
                <w:i w:val="0"/>
                <w:color w:val="000000"/>
                <w:sz w:val="22"/>
                <w:u w:val="none"/>
              </w:rPr>
              <w:t>Complete all four measurement stations and sig fig calculations as designed.</w:t>
            </w:r>
          </w:p>
        </w:tc>
      </w:tr>
      <w:tr>
        <w:tc>
          <w:tcPr>
            <w:tcW w:type="dxa" w:w="2160"/>
          </w:tcPr>
          <w:p>
            <w:r/>
            <w:r>
              <w:rPr>
                <w:rFonts w:ascii="Calibri" w:hAnsi="Calibri"/>
                <w:b w:val="0"/>
                <w:i w:val="0"/>
                <w:color w:val="000000"/>
                <w:sz w:val="22"/>
                <w:u w:val="none"/>
              </w:rPr>
              <w:t>Advanced</w:t>
            </w:r>
          </w:p>
        </w:tc>
        <w:tc>
          <w:tcPr>
            <w:tcW w:type="dxa" w:w="7920"/>
          </w:tcPr>
          <w:p>
            <w:r/>
            <w:r>
              <w:rPr>
                <w:rFonts w:ascii="Calibri" w:hAnsi="Calibri"/>
                <w:b w:val="0"/>
                <w:i w:val="0"/>
                <w:color w:val="000000"/>
                <w:sz w:val="22"/>
                <w:u w:val="none"/>
              </w:rPr>
              <w:t>Complete extension challenge connecting to real-world applications. Investigate how many sig figs each measuring tool provides and rank them by precision. Calculate the propagation of uncertainty through the density calculation.</w:t>
            </w:r>
          </w:p>
        </w:tc>
      </w:tr>
      <w:tr>
        <w:tc>
          <w:tcPr>
            <w:tcW w:type="dxa" w:w="2160"/>
            <w:shd w:fill="F2F2F2" w:val="clear"/>
          </w:tcPr>
          <w:p>
            <w:r/>
            <w:r>
              <w:rPr>
                <w:rFonts w:ascii="Calibri" w:hAnsi="Calibri"/>
                <w:b w:val="0"/>
                <w:i w:val="0"/>
                <w:color w:val="000000"/>
                <w:sz w:val="22"/>
                <w:u w:val="none"/>
              </w:rPr>
              <w:t>ELL</w:t>
            </w:r>
          </w:p>
        </w:tc>
        <w:tc>
          <w:tcPr>
            <w:tcW w:type="dxa" w:w="7920"/>
            <w:shd w:fill="F2F2F2" w:val="clear"/>
          </w:tcPr>
          <w:p>
            <w:r/>
            <w:r>
              <w:rPr>
                <w:rFonts w:ascii="Calibri" w:hAnsi="Calibri"/>
                <w:b w:val="0"/>
                <w:i w:val="0"/>
                <w:color w:val="000000"/>
                <w:sz w:val="22"/>
                <w:u w:val="none"/>
              </w:rPr>
              <w:t>Provide a bilingual measurement vocabulary card with diagrams showing how to read each instrument. Use color-coded labels on stations (green = length, blue = mass, red = volume).</w:t>
            </w:r>
          </w:p>
        </w:tc>
      </w:tr>
      <w:tr>
        <w:tc>
          <w:tcPr>
            <w:tcW w:type="dxa" w:w="2160"/>
          </w:tcPr>
          <w:p>
            <w:r/>
            <w:r>
              <w:rPr>
                <w:rFonts w:ascii="Calibri" w:hAnsi="Calibri"/>
                <w:b w:val="0"/>
                <w:i w:val="0"/>
                <w:color w:val="000000"/>
                <w:sz w:val="22"/>
                <w:u w:val="none"/>
              </w:rPr>
              <w:t>IEP</w:t>
            </w:r>
          </w:p>
        </w:tc>
        <w:tc>
          <w:tcPr>
            <w:tcW w:type="dxa" w:w="7920"/>
          </w:tcPr>
          <w:p>
            <w:r/>
            <w:r>
              <w:rPr>
                <w:rFonts w:ascii="Calibri" w:hAnsi="Calibri"/>
                <w:b w:val="0"/>
                <w:i w:val="0"/>
                <w:color w:val="000000"/>
                <w:sz w:val="22"/>
                <w:u w:val="none"/>
              </w:rPr>
              <w:t>Provide a calculator reference card with the percent error formula pre-loaded as an example. Reduce stations to three. Allow extended time for the exit ticket with a sig fig rules reference card.</w:t>
            </w:r>
          </w:p>
        </w:tc>
      </w:tr>
    </w:tbl>
    <w:p/>
    <w:p>
      <w:pPr>
        <w:spacing w:before="160" w:after="80"/>
        <w:jc w:val="left"/>
      </w:pPr>
      <w:r>
        <w:rPr>
          <w:rFonts w:ascii="Calibri" w:hAnsi="Calibri"/>
          <w:b/>
          <w:i w:val="0"/>
          <w:color w:val="1F4E79"/>
          <w:sz w:val="24"/>
          <w:u w:val="none"/>
        </w:rPr>
        <w:t>CRSE Connections</w:t>
      </w:r>
    </w:p>
    <w:p>
      <w:pPr>
        <w:spacing w:before="80" w:after="80"/>
        <w:shd w:fill="E2EFDA" w:val="clear"/>
      </w:pPr>
      <w:r>
        <w:rPr>
          <w:rFonts w:ascii="Calibri" w:hAnsi="Calibri"/>
          <w:b/>
          <w:i w:val="0"/>
          <w:color w:val="1F4E79"/>
          <w:sz w:val="22"/>
          <w:u w:val="none"/>
        </w:rPr>
        <w:t xml:space="preserve">Culturally Responsive-Sustaining Education: </w:t>
      </w:r>
      <w:r>
        <w:rPr>
          <w:rFonts w:ascii="Calibri" w:hAnsi="Calibri"/>
          <w:b w:val="0"/>
          <w:i w:val="0"/>
          <w:color w:val="000000"/>
          <w:sz w:val="22"/>
          <w:u w:val="none"/>
        </w:rPr>
        <w:t>Explore how ancient civilizations developed sophisticated measurement systems — the Egyptian royal cubit (used to build the pyramids with remarkable precision), the Aztec system based on body measurements, and the Chinese chi — and discuss how the need for global scientific collaboration led to the metric system.</w:t>
      </w:r>
    </w:p>
    <w:p>
      <w:pPr>
        <w:spacing w:before="160" w:after="80"/>
        <w:jc w:val="left"/>
      </w:pPr>
      <w:r>
        <w:rPr>
          <w:rFonts w:ascii="Calibri" w:hAnsi="Calibri"/>
          <w:b/>
          <w:i w:val="0"/>
          <w:color w:val="1F4E79"/>
          <w:sz w:val="24"/>
          <w:u w:val="none"/>
        </w:rPr>
        <w:t>Hochman Writing Integration</w:t>
      </w:r>
    </w:p>
    <w:p>
      <w:pPr>
        <w:spacing w:before="80" w:after="80"/>
        <w:shd w:fill="D6E4F0" w:val="clear"/>
      </w:pPr>
      <w:r>
        <w:rPr>
          <w:rFonts w:ascii="Calibri" w:hAnsi="Calibri"/>
          <w:b/>
          <w:i w:val="0"/>
          <w:color w:val="1F4E79"/>
          <w:sz w:val="22"/>
          <w:u w:val="none"/>
        </w:rPr>
        <w:t xml:space="preserve">Literacy Activity: </w:t>
      </w:r>
      <w:r>
        <w:rPr>
          <w:rFonts w:ascii="Calibri" w:hAnsi="Calibri"/>
          <w:b w:val="0"/>
          <w:i w:val="0"/>
          <w:color w:val="000000"/>
          <w:sz w:val="22"/>
          <w:u w:val="none"/>
        </w:rPr>
        <w:t>Kernel sentence expansion using 'Precision': Start with 'Precision is important.' Expand by adding when, where, why, and how details to create a complex sentence that demonstrates understanding of the concept.</w:t>
      </w:r>
    </w:p>
    <w:sectPr w:rsidR="00FC693F" w:rsidRPr="0006063C" w:rsidSect="00034616">
      <w:footerReference w:type="default" r:id="rId9"/>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1F4E79"/>
        <w:sz w:val="18"/>
      </w:rPr>
      <w:t>Valley Stream Central High School District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