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7: Graphical Analysis of Physical Relationships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Graphical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collects data on the stretch of a rubber band as increasing masses are hung from it. For masses 0-300 g, the data forms a straight line. For masses 300-500 g, the rubber band stretches more than expected and the graph curves upward. Above 500 g, the rubber band breaks.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graphical data, I claim that the rubber band follows a linear relationship only within a certain range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shape of the graph in each region (0-300 g, 300-500 g, and the breaking point) to describe how the rubber band's behavior changes.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transition from linear to non-linear behavior indicates that ___, which is important in engineering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