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24: Projectile Motion: Practice and Real-World Applications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the farthest you've ever thrown something? What did you notice about its path?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ball rolls off a table 1.2 m high with a horizontal velocity of 3 m/s. How far from the base of the table does it land?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solve projectile motion problems involving horizontal launch and connect projectile concepts to real-world scenarios.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Projectile motion worksheets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Projectile launcher (demo)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Carbon paper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Demo: Launch a projectile horizontally from different heights. Students predict landing spots before launch. Compare predictions to actual.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Problem-solving practice: series of horizontal projectile problems with increasing complexity. Include problems where students must find launch height, horizontal velocity, or time of flight.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key principle: horizontal and vertical motions are independent. Time in air depends ONLY on vertical distance. Horizontal distance depends on horizontal velocity × time.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Real-world application: Calculate where a rescue package dropped from a helicopter moving at 40 m/s at 200 m altitude will land.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Two-step projectile problem requiring both time calculation and horizontal distance.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two-column template separating horizontal and vertical calculations; first problem fully worked.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all problems independently; draw trajectory diagrams showing velocity components.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Analyze angled projectile launch — decompose initial velocity into components and calculate range and max height.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diagram showing independent horizontal/vertical motions with color coding; bilingual problem set.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Problems chunked into vertical-only and horizontal-only parts before combining; reference card with steps.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Physics of basketball — the science behind the perfect free throw arc. Discuss how players from diverse backgrounds use intuitive physics, and how sports science research has improved training.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'projectile motion': A horizontally launched projectile hits the ground at the same time as a dropped object because___. The horizontal velocity of a projectile stays constant, but___. The ball was launched at 5 m/s horizontally from a 20 m cliff,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