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3: Newton's Laws &amp; Forces  |  Lesson 10: Free Body Diagrams and Net Force Calculations (Day 3 of 3)</w:t>
      </w:r>
    </w:p>
    <w:p>
      <w:pPr>
        <w:spacing w:before="0" w:after="80"/>
        <w:jc w:val="center"/>
      </w:pPr>
      <w:r>
        <w:rPr>
          <w:rFonts w:ascii="Calibri" w:hAnsi="Calibri"/>
          <w:b/>
          <w:i w:val="0"/>
          <w:color w:val="1F4E79"/>
          <w:sz w:val="24"/>
          <w:u w:val="none"/>
        </w:rPr>
        <w:t>Topic: Free Body Diagrams</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An elevator contains a person standing on a bathroom scale. When the elevator is at rest on the ground floor, the scale reads 700 N. As the elevator begins to accelerate upward, the scale reads 840 N. As the elevator moves upward at constant velocity, the scale reads 700 N again. As the elevator decelerates near the top floor, the scale reads 560 N.</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the free body diagram analysis, I claim that the scale reading changes because the scale measures the normal force, not the true weight, and this normal force changes when...</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Draw a free body diagram for the person during each phase (at rest, accelerating up, constant velocity, decelerating). Calculate the net force and acceleration in each case.</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when the elevator accelerates upward, the normal force must be ___ than the weight to produce a net ___ force, making the scale read ___. When decelerating, the net force is ___, so the normal force is ___ than the weight.</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