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3: Newton's Laws &amp; Forces  |  Lesson 2: Newton's First Law — Inertia (Day 2 of 2)</w:t>
      </w:r>
    </w:p>
    <w:p>
      <w:pPr>
        <w:spacing w:before="0" w:after="80"/>
        <w:jc w:val="center"/>
      </w:pPr>
      <w:r>
        <w:rPr>
          <w:rFonts w:ascii="Calibri" w:hAnsi="Calibri"/>
          <w:b/>
          <w:i w:val="0"/>
          <w:color w:val="1F4E79"/>
          <w:sz w:val="24"/>
          <w:u w:val="none"/>
        </w:rPr>
        <w:t>Topic: Newton's First Law and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In a crash test at 48 km/h (about 30 mph), an unbelted crash test dummy continues forward at the car's original speed and strikes the steering wheel with significant force. A belted dummy decelerates with the car and experiences much lower forces. The unbelted dummy's head hits the windshield approximately 0.05 seconds after the car contacts the barrier.</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Newton's First Law, I claim that the unbelted dummy continues forward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concept of inertia and the time delay (0.05 s) between the car stopping and the dummy hitting the windshield to calculate the distance the dummy traveled inside the car.</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according to Newton's First Law, the dummy's body has inertia and will continue moving at ___ unless a ___ acts on it. The seatbelt provides this force for the belted dummy, but the unbelted dummy's only 'force' is the ___, which is why injuries are so severe.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