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7: Newton's Third Law and Action-Reaction Pairs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Newton's Third Law in Collisions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2000 kg SUV collides head-on with a 800 kg compact car. Both drivers report different experiences: the compact car driver is severely injured while the SUV driver walks away with minor bruises. A common misconception is that the SUV exerted a greater force on the compact car than the compact car exerted on the SUV.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Newton's Third Law, I claim that both vehicles experience the same magnitude of force during the collision, but the outcomes differ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Apply Newton's Third Law to identify the forces and Newton's Second Law (a = F/m) to calculate the acceleration experienced by each vehicle during the collision.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Newton's Third Law guarantees the forces are ___, but since the compact car has a ___ mass, it experiences a ___ acceleration (and deceleration), which results in greater injury risk. This is why vehicle safety standards consider 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