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3: Newton's Laws &amp; Forces</w:t>
      </w:r>
    </w:p>
    <w:p>
      <w:pPr>
        <w:spacing w:before="0" w:after="160"/>
        <w:jc w:val="center"/>
      </w:pPr>
      <w:r>
        <w:rPr>
          <w:rFonts w:ascii="Calibri" w:hAnsi="Calibri"/>
          <w:b w:val="0"/>
          <w:i/>
          <w:color w:val="1F4E79"/>
          <w:sz w:val="22"/>
          <w:u w:val="none"/>
        </w:rPr>
        <w:t>Duration: 21 days  |  Performance Expectations: HS-PS2-1, HS-PS2-2</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When a city bus brakes suddenly, standing passengers lurch forward even though no one pushes them. Meanwhile, a heavy backpack on the seat slides forward and hits the seat in front. Why do objects of different masses respond differently to the same braking event?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forces change the motion of objects?</w:t>
      </w:r>
    </w:p>
    <w:p>
      <w:pPr>
        <w:pStyle w:val="ListBullet"/>
        <w:spacing w:before="20" w:after="20"/>
      </w:pPr>
      <w:r>
        <w:rPr>
          <w:rFonts w:ascii="Calibri" w:hAnsi="Calibri"/>
          <w:b w:val="0"/>
          <w:i w:val="0"/>
          <w:color w:val="000000"/>
          <w:sz w:val="22"/>
          <w:u w:val="none"/>
        </w:rPr>
        <w:t>How can we use free body diagrams to predict an object's acceleration?</w:t>
      </w:r>
    </w:p>
    <w:p>
      <w:pPr>
        <w:pStyle w:val="ListBullet"/>
        <w:spacing w:before="20" w:after="20"/>
      </w:pPr>
      <w:r>
        <w:rPr>
          <w:rFonts w:ascii="Calibri" w:hAnsi="Calibri"/>
          <w:b w:val="0"/>
          <w:i w:val="0"/>
          <w:color w:val="000000"/>
          <w:sz w:val="22"/>
          <w:u w:val="none"/>
        </w:rPr>
        <w:t>What keeps objects moving in a circle, and what happens when that force disappears?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Newton's First Law — Inertia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explain Newton's First Law and predict the m...</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Newton's First Law — Inertia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explain Newton's First Law and predict the motion o...</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Newton's Second Law — F = ma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apply Newton's Second Law to calculate the n...</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Newton's Second Law — F = ma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apply Newton's Second Law to calculate the net force, mass...</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Newton's Second Law — F = ma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apply Newton's Second Law to calculate the net f...</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Newton's Third Law and Action-Reaction Pairs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identify Newton's Third Law action-reaction ...</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Newton's Third Law and Action-Reaction Pairs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identify Newton's Third Law action-reaction force p...</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Free Body Diagrams and Net Force Calculations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draw a free body diagram showing all forces ...</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Free Body Diagrams and Net Force Calculations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draw a free body diagram showing all forces acting on an o...</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Free Body Diagrams and Net Force Calculations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draw a free body diagram showing all forces acti...</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Weight, Mass, and the Force of Gravity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distinguish between mass and weight, calcula...</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Weight, Mass, and the Force of Gravity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distinguish between mass and weight, calculate the ...</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Friction — Static and Kinetic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distinguish between static and kinetic frict...</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Friction — Static and Kinetic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distinguish between static and kinetic friction, calculate...</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Friction — Static and Kinetic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distinguish between static and kinetic friction,...</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Inclined Planes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resolve gravitational force into components ...</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Inclined Planes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resolve gravitational force into components parallel and p...</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Inclined Planes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resolve gravitational force into components para...</w:t>
            </w:r>
          </w:p>
        </w:tc>
      </w:tr>
      <w:tr>
        <w:tc>
          <w:tcPr>
            <w:tcW w:type="dxa" w:w="1008"/>
          </w:tcPr>
          <w:p>
            <w:r/>
            <w:r>
              <w:rPr>
                <w:rFonts w:ascii="Calibri" w:hAnsi="Calibri"/>
                <w:b w:val="0"/>
                <w:i w:val="0"/>
                <w:color w:val="000000"/>
                <w:sz w:val="22"/>
                <w:u w:val="none"/>
              </w:rPr>
              <w:t>19</w:t>
            </w:r>
          </w:p>
        </w:tc>
        <w:tc>
          <w:tcPr>
            <w:tcW w:type="dxa" w:w="2880"/>
          </w:tcPr>
          <w:p>
            <w:r/>
            <w:r>
              <w:rPr>
                <w:rFonts w:ascii="Calibri" w:hAnsi="Calibri"/>
                <w:b w:val="0"/>
                <w:i w:val="0"/>
                <w:color w:val="000000"/>
                <w:sz w:val="22"/>
                <w:u w:val="none"/>
              </w:rPr>
              <w:t>Circular Motion and Centripetal Force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explain that an object moving in a circle is...</w:t>
            </w:r>
          </w:p>
        </w:tc>
      </w:tr>
      <w:tr>
        <w:tc>
          <w:tcPr>
            <w:tcW w:type="dxa" w:w="1008"/>
            <w:shd w:fill="F2F2F2" w:val="clear"/>
          </w:tcPr>
          <w:p>
            <w:r/>
            <w:r>
              <w:rPr>
                <w:rFonts w:ascii="Calibri" w:hAnsi="Calibri"/>
                <w:b w:val="0"/>
                <w:i w:val="0"/>
                <w:color w:val="000000"/>
                <w:sz w:val="22"/>
                <w:u w:val="none"/>
              </w:rPr>
              <w:t>20</w:t>
            </w:r>
          </w:p>
        </w:tc>
        <w:tc>
          <w:tcPr>
            <w:tcW w:type="dxa" w:w="2880"/>
            <w:shd w:fill="F2F2F2" w:val="clear"/>
          </w:tcPr>
          <w:p>
            <w:r/>
            <w:r>
              <w:rPr>
                <w:rFonts w:ascii="Calibri" w:hAnsi="Calibri"/>
                <w:b w:val="0"/>
                <w:i w:val="0"/>
                <w:color w:val="000000"/>
                <w:sz w:val="22"/>
                <w:u w:val="none"/>
              </w:rPr>
              <w:t>Circular Motion and Centripetal Force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explain that an object moving in a circle is accelerating,...</w:t>
            </w:r>
          </w:p>
        </w:tc>
      </w:tr>
      <w:tr>
        <w:tc>
          <w:tcPr>
            <w:tcW w:type="dxa" w:w="1008"/>
          </w:tcPr>
          <w:p>
            <w:r/>
            <w:r>
              <w:rPr>
                <w:rFonts w:ascii="Calibri" w:hAnsi="Calibri"/>
                <w:b w:val="0"/>
                <w:i w:val="0"/>
                <w:color w:val="000000"/>
                <w:sz w:val="22"/>
                <w:u w:val="none"/>
              </w:rPr>
              <w:t>21</w:t>
            </w:r>
          </w:p>
        </w:tc>
        <w:tc>
          <w:tcPr>
            <w:tcW w:type="dxa" w:w="2880"/>
          </w:tcPr>
          <w:p>
            <w:r/>
            <w:r>
              <w:rPr>
                <w:rFonts w:ascii="Calibri" w:hAnsi="Calibri"/>
                <w:b w:val="0"/>
                <w:i w:val="0"/>
                <w:color w:val="000000"/>
                <w:sz w:val="22"/>
                <w:u w:val="none"/>
              </w:rPr>
              <w:t>Circular Motion and Centripetal Force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explain that an object moving in a circle is acc...</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Constructing Explanations and Designing Solutions</w:t>
              <w:br/>
              <w:t>Developing and Using Models</w:t>
              <w:br/>
              <w:t>Engaging in Argument from Evidence</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br/>
              <w:t>Stability and Change</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investigate the physics of forces in culturally relevant contexts — the engineering behind earthquake-resistant buildings in communities of color, the biomechanics of dance forms like breakdancing and ballet, and how Isaac Newton built on the earlier work of scholars from the Islamic Golden Age such as Ibn al-Haytham and Avicenna.</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Free body diagram checks</w:t>
      </w:r>
    </w:p>
    <w:p>
      <w:pPr>
        <w:pStyle w:val="ListBullet"/>
        <w:spacing w:before="20" w:after="20"/>
      </w:pPr>
      <w:r>
        <w:rPr>
          <w:rFonts w:ascii="Calibri" w:hAnsi="Calibri"/>
          <w:b w:val="0"/>
          <w:i w:val="0"/>
          <w:color w:val="000000"/>
          <w:sz w:val="22"/>
          <w:u w:val="none"/>
        </w:rPr>
        <w:t>Newton's Second Law calculation sets</w:t>
      </w:r>
    </w:p>
    <w:p>
      <w:pPr>
        <w:pStyle w:val="ListBullet"/>
        <w:spacing w:before="20" w:after="20"/>
      </w:pPr>
      <w:r>
        <w:rPr>
          <w:rFonts w:ascii="Calibri" w:hAnsi="Calibri"/>
          <w:b w:val="0"/>
          <w:i w:val="0"/>
          <w:color w:val="000000"/>
          <w:sz w:val="22"/>
          <w:u w:val="none"/>
        </w:rPr>
        <w:t>Friction lab data analysis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Newton's Second Law Lab</w:t>
      </w:r>
    </w:p>
    <w:p>
      <w:pPr>
        <w:pStyle w:val="ListBullet"/>
        <w:spacing w:before="20" w:after="20"/>
      </w:pPr>
      <w:r>
        <w:rPr>
          <w:rFonts w:ascii="Calibri" w:hAnsi="Calibri"/>
          <w:b w:val="0"/>
          <w:i w:val="0"/>
          <w:color w:val="000000"/>
          <w:sz w:val="22"/>
          <w:u w:val="none"/>
        </w:rPr>
        <w:t>Unit 3 Exam: Forces and Newton's Laws</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3: Relationship Between Net Force, Mass, and Acceleration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