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4: Momentum &amp; Impulse  |  Lesson 15: Momentum Unit Review and Safety Engineering Design Challenge (Day 3 of 3)</w:t>
      </w:r>
    </w:p>
    <w:p>
      <w:pPr>
        <w:spacing w:before="0" w:after="80"/>
        <w:jc w:val="center"/>
      </w:pPr>
      <w:r>
        <w:rPr>
          <w:rFonts w:ascii="Calibri" w:hAnsi="Calibri"/>
          <w:b/>
          <w:i w:val="0"/>
          <w:color w:val="1F4E79"/>
          <w:sz w:val="24"/>
          <w:u w:val="none"/>
        </w:rPr>
        <w:t>Topic: Safety Engineering and Impulse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company designs two phone cases: Case A is a rigid plastic shell (collision time when dropped: 0.005 s) and Case B is a soft silicone case with air pockets (collision time: 0.05 s). A 0.20 kg phone is dropped from 1.5 m onto a hard floor. With Case A, the screen cracks. With Case B, the phone is undamaged.</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impulse-momentum theorem, I claim that Case B protects the phone better because it reduces the peak force by a factor of ___ by...</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phone's velocity at impact (from free fall), the impulse needed to stop it, and the average force for each case. Compare the forces to the known screen breaking force.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both cases deliver the same impulse of ___ N·s, but Case A's force of ___ N exceeds the screen's breaking threshold while Case B's force of ___ N does not. The silicone air pockets work by increasing ___, which is the same principle behind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