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6: Conservation of Momentum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the law of conservation of momentum to calculate unknown velocities before or after a collision in an isolated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Momentum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an isolated ________ with no ________ net force, ________ total momentum ________ an interaction ________ the total ________ after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External Forces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Forces from outside ________ system (e.g., ________ with the ________ gravity if ________ accounted for); ________ CAN change ________ total momentum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Law of Conservation of Momentum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Explosions and Recoil — Momentum Starts at Zero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Conservation of Momentum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Conservation of Momentum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conservation of momentum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conservation of momentum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