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7: Conservation of Momentum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the law of conservation of momentum to calculate unknown velocities before or after a collision in an isolated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Isolated System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 in ________ no external ________ forces act; ________ internal forces ________ objects within ________ system are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Recoil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backward motion ________ one object ________ another is ________ forward; an ________ of conservation ________ momentum starting ________ rest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Deriving Conservation from Newton's Third Law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When Is Momentum NOT Conserved? — The Role of External Forces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Momentum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Momentum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momentum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momentum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