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10: Conservation of Mechanical Energy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apply the law of conservation of energy to solve problems involving the transformation between kinetic and potential energy in systems without significant friction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Conservative Force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force (like ________ for which ________ work done ________ independent of ________ and depends ________ on initial ________ final positions; ________ energy is ________ when only ________ forces act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Energy Bar Charts — A Visual Problem-Solving Tool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Conservation of Mechanical Energy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Conservation of Mechanical Energy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conservation of mechanical energy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conservation of mechanical energy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