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7: Thermal Energy &amp; Conservation  |  Lesson 15: Entropy and Unit 7 Review (Day 3 of 3)</w:t>
      </w:r>
    </w:p>
    <w:p>
      <w:pPr>
        <w:spacing w:before="0" w:after="80"/>
        <w:jc w:val="center"/>
      </w:pPr>
      <w:r>
        <w:rPr>
          <w:rFonts w:ascii="Calibri" w:hAnsi="Calibri"/>
          <w:b/>
          <w:i w:val="0"/>
          <w:color w:val="1F4E79"/>
          <w:sz w:val="24"/>
          <w:u w:val="none"/>
        </w:rPr>
        <w:t>Topic: Entropy and Energy Quality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power plant burns coal at 600 degrees C to produce steam that drives a turbine, generating electricity. The overall efficiency is about 33% — for every 100 J of chemical energy in coal, only 33 J becomes electrical energy and 67 J is released as waste heat to the environment at around 30 degrees C. Engineers have tried for over a century to improve this efficiency but have never exceeded approximately 60% for any heat engine.</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Second Law of Thermodynamics, I claim that the maximum efficiency of any heat engine is fundamentally limited and can never reach 100%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Apply the concept of entropy to explain why waste heat is an inevitable byproduct of converting thermal energy to work. Discuss how the temperature difference between the heat source and the environment limits efficiency.</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the Second Law requires that total entropy must ___ in any real process. Converting 100% of heat to work would mean ___ entropy change, which violates ___. The waste heat at ___ degrees C carries the entropy that must be ___ to satisfy the Second Law.</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