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10: Standing Waves and Resonance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explain how standing waves form, identify harmonics and their node/antinode patterns, and describe resonance as the transfer of energy at a natural frequency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point on ________ standing wave ________ remains at ________ displacement; the ________ of permanent ________ interference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Fundamental Frequency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lowest frequency ________ which a ________ wave can ________ also called ________ first harmonic; ________ a string, ________ = 2L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Resonance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dramatic increase ________ amplitude when ________ driving force ________ a natural ________ of a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Nodes and Antinodes — Fixed Points in the Pattern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Resonance — When Frequency Matching Amplifies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Standing Waves and Resonance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Standing Waves and Resonance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standing waves and resonance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standing waves and resonance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