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6: Wave Behavior: Reflection, Refraction, and Diffraction (Day 3 of 3)</w:t>
      </w:r>
    </w:p>
    <w:p>
      <w:pPr>
        <w:spacing w:before="0" w:after="80"/>
        <w:jc w:val="center"/>
      </w:pPr>
      <w:r>
        <w:rPr>
          <w:rFonts w:ascii="Calibri" w:hAnsi="Calibri"/>
          <w:b/>
          <w:i w:val="0"/>
          <w:color w:val="1F4E79"/>
          <w:sz w:val="24"/>
          <w:u w:val="none"/>
        </w:rPr>
        <w:t>Topic: Wave Behavior and Communication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AM radio stations can be received clearly in valleys and behind mountains, even hundreds of miles from the transmitter. FM radio stations, broadcasting at higher frequencies, lose signal strength behind hills and buildings and have a much shorter effective range. Both AM and FM are electromagnetic waves traveling at the same speed (3 x 10^8 m/s).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diffraction principles, I claim that AM radio has better reception behind obstacles than FM radio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wavelength of a typical AM station (1000 kHz) and a typical FM station (100 MHz). Compare these wavelengths to the size of mountains and buildings.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AM wavelengths are approximately ___ m, which is comparable to or larger than hills and buildings, so AM waves ___ around these obstacles. FM wavelengths are only about ___ m, much smaller than obstacles, so FM waves do not diffract significantly and create ___ zones behind obstacles.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