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10: Nuclear Physics  |  Lesson 7: Fission, Fusion, and Mass-Energy Equivalence (Day 2 of 2)</w:t>
      </w:r>
    </w:p>
    <w:p>
      <w:pPr>
        <w:spacing w:before="0" w:after="80"/>
        <w:jc w:val="center"/>
      </w:pPr>
      <w:r>
        <w:rPr>
          <w:rFonts w:ascii="Calibri" w:hAnsi="Calibri"/>
          <w:b/>
          <w:i w:val="0"/>
          <w:color w:val="1F4E79"/>
          <w:sz w:val="24"/>
          <w:u w:val="none"/>
        </w:rPr>
        <w:t>Topic: Nuclear Energy and Society</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France generates approximately 70% of its electricity from nuclear fission, while Germany has decided to shut down all its nuclear power plants by 2023 in favor of renewable energy. France has one of the lowest carbon emission rates per kWh in Europe. Germany's carbon emissions per kWh are higher because it still relies partly on coal. However, France must manage radioactive waste storage, while Germany does not face this issue with its renewable infrastructure.</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physics of nuclear fission and the data on carbon emissions and waste management, I claim that the choice between nuclear and renewable energy involves significant trade-offs that depend on a community's priorities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carbon emissions, waste products, and energy reliability of nuclear fission versus renewable sources. Consider the scale of energy needed and the physics of each source.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nuclear fission produces ___ carbon emissions but generates ___ waste that remains dangerous for ___. Renewable sources produce ___ waste and ___ carbon emissions but face challenges with ___ and ___. The 'best' choice depends on whether a community prioritizes ___ or ___, demonstrating that physics informs but does not dictate policy decisions.</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