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riction-answer-key"/>
    <w:p>
      <w:pPr>
        <w:pStyle w:val="Heading1"/>
      </w:pPr>
      <w:r>
        <w:t xml:space="preserve">Friction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Forces — Lesson 04: Friction</w:t>
      </w:r>
      <w:r>
        <w:t xml:space="preserve"> </w:t>
      </w:r>
      <w:r>
        <w:t xml:space="preserve">East Meadow Schools × Valley Stream Central HSD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Static friction has a larger maximum than kinetic friction.</w:t>
      </w:r>
      <w:r>
        <w:t xml:space="preserve"> </w:t>
      </w:r>
      <w:r>
        <w:t xml:space="preserve">Starting the desk means overcoming the bigger static maximum; once it slides, only the smaller, roughly constant kinetic friction opposes you.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static &gt; kinetic AND links to start vs. keep moving. · NYSSLS: HS-PS2-1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heavier box</w:t>
      </w:r>
      <w:r>
        <w:t xml:space="preserve"> </w:t>
      </w:r>
      <w:r>
        <w:t xml:space="preserve">needs more force. More weight means a larger</w:t>
      </w:r>
      <w:r>
        <w:t xml:space="preserve"> </w:t>
      </w:r>
      <w:r>
        <w:rPr>
          <w:b/>
          <w:bCs/>
        </w:rPr>
        <w:t xml:space="preserve">normal force (FN)</w:t>
      </w:r>
      <w:r>
        <w:t xml:space="preserve">, and since</w:t>
      </w:r>
      <w:r>
        <w:t xml:space="preserve"> </w:t>
      </w:r>
      <w:r>
        <w:rPr>
          <w:b/>
          <w:bCs/>
        </w:rPr>
        <w:t xml:space="preserve">Ff = μ·FN</w:t>
      </w:r>
      <w:r>
        <w:t xml:space="preserve">, larger FN means larger friction.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links weight → normal force → larger Ff. · NYSSLS: HS-PS2-3</w:t>
      </w:r>
    </w:p>
    <w:p>
      <w:pPr>
        <w:pStyle w:val="Compact"/>
        <w:numPr>
          <w:ilvl w:val="0"/>
          <w:numId w:val="1001"/>
        </w:numPr>
      </w:pPr>
      <w:r>
        <w:t xml:space="preserve">Sandpaper is</w:t>
      </w:r>
      <w:r>
        <w:t xml:space="preserve"> </w:t>
      </w:r>
      <w:r>
        <w:rPr>
          <w:b/>
          <w:bCs/>
        </w:rPr>
        <w:t xml:space="preserve">rougher</w:t>
      </w:r>
      <w:r>
        <w:t xml:space="preserve">, so the pairing has a</w:t>
      </w:r>
      <w:r>
        <w:t xml:space="preserve"> </w:t>
      </w:r>
      <w:r>
        <w:rPr>
          <w:b/>
          <w:bCs/>
        </w:rPr>
        <w:t xml:space="preserve">larger coefficient of friction (μ)</w:t>
      </w:r>
      <w:r>
        <w:t xml:space="preserve">. With the same normal force, a larger μ gives a larger Ff = μ·FN.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rougher surface → larger μ. · NYSSLS: HS-PS2-3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Static friction.</w:t>
      </w:r>
      <w:r>
        <w:t xml:space="preserve"> </w:t>
      </w:r>
      <w:r>
        <w:t xml:space="preserve">The crate is not sliding, so the friction is static — it grows to match your push (up to its maximum), keeping the net force zero so the crate stays at rest.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Ff = μ·FN = 0.30 × 200 N = 60 N.</w:t>
      </w:r>
      <w:r>
        <w:t xml:space="preserve"> </w:t>
      </w:r>
      <w:r>
        <w:t xml:space="preserve">(On a flat floor FN equals the 200 N weight.)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Cause and Effect:</w:t>
      </w:r>
      <w:r>
        <w:t xml:space="preserve"> </w:t>
      </w:r>
      <w:r>
        <w:t xml:space="preserve">any one of — use a rougher surface (larger μ), add weight / press it down harder (larger FN). Either correctly increases Ff = μ·FN.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must say static AND justify</w:t>
      </w:r>
      <w:r>
        <w:t xml:space="preserve"> </w:t>
      </w:r>
      <w:r>
        <w:t xml:space="preserve">“not sliding”</w:t>
      </w:r>
      <w:r>
        <w:t xml:space="preserve">; (b) must show Ff = μ·FN with the answer</w:t>
      </w:r>
      <w:r>
        <w:t xml:space="preserve"> </w:t>
      </w:r>
      <w:r>
        <w:rPr>
          <w:b/>
          <w:bCs/>
        </w:rPr>
        <w:t xml:space="preserve">60 N</w:t>
      </w:r>
      <w:r>
        <w:t xml:space="preserve"> </w:t>
      </w:r>
      <w:r>
        <w:t xml:space="preserve">(full credit for correct setup + answer; half for setup only); (c) any change that raises μ or FN. 1 point each. NYSSLS: HS-PS2-3 (and HS-PS2-1).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genuine attribution of an idea to a peer at the BTC station</w:t>
      </w:r>
      <w:r>
        <w:t xml:space="preserve"> </w:t>
      </w:r>
      <w:r>
        <w:t xml:space="preserve">- Evidence the student can name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factor (μ or FN) that changes friction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2026-06-01T15:17:09Z</dcterms:created>
  <dcterms:modified xsi:type="dcterms:W3CDTF">2026-06-01T15:17:09Z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