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A71930"/>
          <w:sz w:val="72"/>
        </w:rPr>
        <w:t>AXOMRANK</w:t>
      </w:r>
    </w:p>
    <w:p>
      <w:pPr>
        <w:jc w:val="center"/>
      </w:pPr>
      <w:r>
        <w:rPr>
          <w:b/>
          <w:color w:val="171717"/>
          <w:sz w:val="26"/>
        </w:rPr>
        <w:t>BRAND IDENTITY GUIDE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474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graphic_design_presentation_logo_ident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28"/>
        </w:rPr>
        <w:t>Prepare smarter. Rank higher.</w:t>
      </w:r>
    </w:p>
    <w:p>
      <w:pPr>
        <w:jc w:val="center"/>
      </w:pPr>
      <w:r>
        <w:rPr>
          <w:color w:val="6B7280"/>
          <w:sz w:val="18"/>
        </w:rPr>
        <w:t>Version 1.0  |  August 2026</w:t>
      </w:r>
    </w:p>
    <w:p>
      <w:r>
        <w:br w:type="page"/>
      </w:r>
    </w:p>
    <w:p>
      <w:pPr>
        <w:pStyle w:val="Heading1"/>
      </w:pPr>
      <w:r>
        <w:t>1. Brand Foundation</w:t>
      </w:r>
    </w:p>
    <w:p>
      <w:pPr>
        <w:pStyle w:val="Heading2"/>
      </w:pPr>
      <w:r>
        <w:t>Brand</w:t>
      </w:r>
    </w:p>
    <w:p>
      <w:r>
        <w:t>AxomRank</w:t>
      </w:r>
    </w:p>
    <w:p>
      <w:pPr>
        <w:pStyle w:val="Heading2"/>
      </w:pPr>
      <w:r>
        <w:t>Category</w:t>
      </w:r>
    </w:p>
    <w:p>
      <w:r>
        <w:t>Assam-first competitive-examination intelligence and preparation platform.</w:t>
      </w:r>
    </w:p>
    <w:p>
      <w:pPr>
        <w:pStyle w:val="Heading2"/>
      </w:pPr>
      <w:r>
        <w:t>Initial product</w:t>
      </w:r>
    </w:p>
    <w:p>
      <w:r>
        <w:t>AxomRank ADRE — digital preparation for Assam Direct Recruitment Examination aspirants.</w:t>
      </w:r>
    </w:p>
    <w:p>
      <w:pPr>
        <w:pStyle w:val="Heading2"/>
      </w:pPr>
      <w:r>
        <w:t>Long-term ambition</w:t>
      </w:r>
    </w:p>
    <w:p>
      <w:r>
        <w:t>Expand from ADRE into APSC, Assam Police, TET, Forest, SSC and other competitive examinations while keeping Assam as the core market identity.</w:t>
      </w:r>
    </w:p>
    <w:p>
      <w:pPr>
        <w:pStyle w:val="Heading2"/>
      </w:pPr>
      <w:r>
        <w:t>Brand promise</w:t>
      </w:r>
    </w:p>
    <w:p>
      <w:r>
        <w:t>Give aspirants a clearer path from study to measurable improvement through high-quality practice, analytics and targeted revision.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3"/>
          </w:tcPr>
          <w:p>
            <w:r>
              <w:rPr>
                <w:b/>
                <w:color w:val="A71930"/>
                <w:sz w:val="22"/>
              </w:rPr>
              <w:t>Core idea</w:t>
              <w:br/>
            </w:r>
            <w:r>
              <w:rPr>
                <w:color w:val="171717"/>
                <w:sz w:val="20"/>
              </w:rPr>
              <w:t>AxomRank should feel like a serious technology product built for Assam — not a traditional coaching centre, PDF shop or generic ed-tech clone.</w:t>
            </w:r>
          </w:p>
        </w:tc>
      </w:tr>
    </w:tbl>
    <w:p>
      <w:pPr>
        <w:spacing w:after="20"/>
      </w:pPr>
    </w:p>
    <w:p>
      <w:pPr>
        <w:pStyle w:val="Heading1"/>
      </w:pPr>
      <w:r>
        <w:t>2. Brand Meaning &amp; Story</w:t>
      </w:r>
    </w:p>
    <w:p>
      <w:r>
        <w:t>“Axom” establishes regional identity. “Rank” establishes measurable achievement, competition and progress.</w:t>
      </w:r>
    </w:p>
    <w:p>
      <w:r>
        <w:t>The visual identity takes its cultural anchor from the Rang Ghar. Rather than reproducing the monument literally across the brand, its architectural character becomes a restrained design language: symmetry, broad curved forms, repeated arches, horizontal bands and strong negative space.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3"/>
          </w:tcPr>
          <w:p>
            <w:r>
              <w:rPr>
                <w:b/>
                <w:color w:val="A71930"/>
                <w:sz w:val="22"/>
              </w:rPr>
              <w:t>Rang Ghar principle</w:t>
              <w:br/>
            </w:r>
            <w:r>
              <w:rPr>
                <w:color w:val="171717"/>
                <w:sz w:val="20"/>
              </w:rPr>
              <w:t>Use Rang Ghar as an inspiration and design grammar, not as decoration. The brand should remain recognisably modern and digital.</w:t>
            </w:r>
          </w:p>
        </w:tc>
      </w:tr>
    </w:tbl>
    <w:p>
      <w:pPr>
        <w:spacing w:after="20"/>
      </w:pPr>
    </w:p>
    <w:p>
      <w:pPr>
        <w:pStyle w:val="Heading2"/>
      </w:pPr>
      <w:r>
        <w:t>Brand metaphor</w:t>
      </w:r>
    </w:p>
    <w:p>
      <w:r>
        <w:t>Rang Ghar represents a place of gathering and viewing. AxomRank adapts that idea into a digital gathering point where Assam’s aspirants prepare, test themselves, compare performance and improve.</w:t>
      </w:r>
    </w:p>
    <w:p>
      <w:pPr>
        <w:pStyle w:val="Heading1"/>
      </w:pPr>
      <w:r>
        <w:t>3. Brand Personality</w:t>
      </w:r>
    </w:p>
    <w:p>
      <w:r>
        <w:rPr>
          <w:b/>
        </w:rPr>
        <w:t xml:space="preserve">Intelligent — </w:t>
      </w:r>
      <w:r>
        <w:t>Data-driven, precise and evidence-oriented.</w:t>
      </w:r>
    </w:p>
    <w:p>
      <w:r>
        <w:rPr>
          <w:b/>
        </w:rPr>
        <w:t xml:space="preserve">Ambitious — </w:t>
      </w:r>
      <w:r>
        <w:t>Focused on improvement and achievement.</w:t>
      </w:r>
    </w:p>
    <w:p>
      <w:r>
        <w:rPr>
          <w:b/>
        </w:rPr>
        <w:t xml:space="preserve">Trustworthy — </w:t>
      </w:r>
      <w:r>
        <w:t>Clear about what is official, independent and evidence-based.</w:t>
      </w:r>
    </w:p>
    <w:p>
      <w:r>
        <w:rPr>
          <w:b/>
        </w:rPr>
        <w:t xml:space="preserve">Modern — </w:t>
      </w:r>
      <w:r>
        <w:t>Digital-first, clean and uncluttered.</w:t>
      </w:r>
    </w:p>
    <w:p>
      <w:r>
        <w:rPr>
          <w:b/>
        </w:rPr>
        <w:t xml:space="preserve">Assamese — </w:t>
      </w:r>
      <w:r>
        <w:t>Rooted in Assam without becoming folkloric.</w:t>
      </w:r>
    </w:p>
    <w:p>
      <w:r>
        <w:rPr>
          <w:b/>
        </w:rPr>
        <w:t xml:space="preserve">Practical — </w:t>
      </w:r>
      <w:r>
        <w:t>Useful before motivational; action before slogans.</w:t>
      </w:r>
    </w:p>
    <w:p>
      <w:pPr>
        <w:pStyle w:val="Heading2"/>
      </w:pPr>
      <w:r>
        <w:t>What AxomRank should not feel like</w:t>
      </w:r>
    </w:p>
    <w:p>
      <w:pPr>
        <w:pStyle w:val="ListBullet"/>
        <w:spacing w:after="40"/>
      </w:pPr>
      <w:r>
        <w:t>Generic coaching-centre branding</w:t>
      </w:r>
    </w:p>
    <w:p>
      <w:pPr>
        <w:pStyle w:val="ListBullet"/>
        <w:spacing w:after="40"/>
      </w:pPr>
      <w:r>
        <w:t>Government branding or implied official affiliation</w:t>
      </w:r>
    </w:p>
    <w:p>
      <w:pPr>
        <w:pStyle w:val="ListBullet"/>
        <w:spacing w:after="40"/>
      </w:pPr>
      <w:r>
        <w:t>Overly patriotic or decorative visual language</w:t>
      </w:r>
    </w:p>
    <w:p>
      <w:pPr>
        <w:pStyle w:val="ListBullet"/>
        <w:spacing w:after="40"/>
      </w:pPr>
      <w:r>
        <w:t>Cheap discount-driven ed-tech</w:t>
      </w:r>
    </w:p>
    <w:p>
      <w:pPr>
        <w:pStyle w:val="ListBullet"/>
        <w:spacing w:after="40"/>
      </w:pPr>
      <w:r>
        <w:t>Motivational-speaker culture</w:t>
      </w:r>
    </w:p>
    <w:p>
      <w:pPr>
        <w:pStyle w:val="ListBullet"/>
        <w:spacing w:after="40"/>
      </w:pPr>
      <w:r>
        <w:t>A cluttered PDF marketplace</w:t>
      </w:r>
    </w:p>
    <w:p>
      <w:pPr>
        <w:pStyle w:val="Heading1"/>
      </w:pPr>
      <w:r>
        <w:t>4. Logo System</w:t>
      </w:r>
    </w:p>
    <w:p>
      <w:pPr>
        <w:pStyle w:val="Heading2"/>
      </w:pPr>
      <w:r>
        <w:t>Primary mark</w:t>
      </w:r>
    </w:p>
    <w:p>
      <w:r>
        <w:t>A simplified Rang Ghar-inspired architectural emblem paired with the AxomRank wordmark.</w:t>
      </w:r>
    </w:p>
    <w:p>
      <w:pPr>
        <w:pStyle w:val="Heading2"/>
      </w:pPr>
      <w:r>
        <w:t>Design principle</w:t>
      </w:r>
    </w:p>
    <w:p>
      <w:r>
        <w:t>The mark should be recognisable as a compact architectural silhouette while remaining simple enough to work as a favicon, app icon and social avatar.</w:t>
      </w:r>
    </w:p>
    <w:p>
      <w:pPr>
        <w:pStyle w:val="Heading2"/>
      </w:pPr>
      <w:r>
        <w:t>Required logo variants</w:t>
      </w:r>
    </w:p>
    <w:p>
      <w:pPr>
        <w:pStyle w:val="ListBullet"/>
        <w:spacing w:after="40"/>
      </w:pPr>
      <w:r>
        <w:t>Primary horizontal lock-up</w:t>
      </w:r>
    </w:p>
    <w:p>
      <w:pPr>
        <w:pStyle w:val="ListBullet"/>
        <w:spacing w:after="40"/>
      </w:pPr>
      <w:r>
        <w:t>Stacked lock-up</w:t>
      </w:r>
    </w:p>
    <w:p>
      <w:pPr>
        <w:pStyle w:val="ListBullet"/>
        <w:spacing w:after="40"/>
      </w:pPr>
      <w:r>
        <w:t>Symbol-only mark</w:t>
      </w:r>
    </w:p>
    <w:p>
      <w:pPr>
        <w:pStyle w:val="ListBullet"/>
        <w:spacing w:after="40"/>
      </w:pPr>
      <w:r>
        <w:t>One-colour dark version</w:t>
      </w:r>
    </w:p>
    <w:p>
      <w:pPr>
        <w:pStyle w:val="ListBullet"/>
        <w:spacing w:after="40"/>
      </w:pPr>
      <w:r>
        <w:t>One-colour white/reversed version</w:t>
      </w:r>
    </w:p>
    <w:p>
      <w:pPr>
        <w:pStyle w:val="ListBullet"/>
        <w:spacing w:after="40"/>
      </w:pPr>
      <w:r>
        <w:t>Small-size/favicon version</w:t>
      </w:r>
    </w:p>
    <w:p>
      <w:pPr>
        <w:pStyle w:val="Heading2"/>
      </w:pPr>
      <w:r>
        <w:t>Logo rules</w:t>
      </w:r>
    </w:p>
    <w:p>
      <w:pPr>
        <w:pStyle w:val="ListBullet"/>
        <w:spacing w:after="40"/>
      </w:pPr>
      <w:r>
        <w:t>Do not add gradients, glow, 3D effects or drop shadows.</w:t>
      </w:r>
    </w:p>
    <w:p>
      <w:pPr>
        <w:pStyle w:val="ListBullet"/>
        <w:spacing w:after="40"/>
      </w:pPr>
      <w:r>
        <w:t>Do not surround the mark with unnecessary decorative Assamese patterns.</w:t>
      </w:r>
    </w:p>
    <w:p>
      <w:pPr>
        <w:pStyle w:val="ListBullet"/>
        <w:spacing w:after="40"/>
      </w:pPr>
      <w:r>
        <w:t>Do not stretch, rotate or distort the mark.</w:t>
      </w:r>
    </w:p>
    <w:p>
      <w:pPr>
        <w:pStyle w:val="ListBullet"/>
        <w:spacing w:after="40"/>
      </w:pPr>
      <w:r>
        <w:t>Do not recreate the logo in an unapproved colour.</w:t>
      </w:r>
    </w:p>
    <w:p>
      <w:pPr>
        <w:pStyle w:val="ListBullet"/>
        <w:spacing w:after="40"/>
      </w:pPr>
      <w:r>
        <w:t>Do not attach the tagline to every instance of the logo.</w:t>
      </w:r>
    </w:p>
    <w:p>
      <w:pPr>
        <w:pStyle w:val="Heading1"/>
      </w:pPr>
      <w:r>
        <w:t>5. Colour System</w:t>
      </w:r>
    </w:p>
    <w:p>
      <w:r>
        <w:t>The palette deliberately avoids generic ed-tech blue/orange conventions. It uses a restrained red, white and charcoal system that connects to Assamese visual culture while remaining contemporary.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A7193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Colour</w:t>
            </w:r>
          </w:p>
        </w:tc>
        <w:tc>
          <w:tcPr>
            <w:tcW w:type="dxa" w:w="2520"/>
            <w:vAlign w:val="center"/>
            <w:shd w:fill="A7193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HEX</w:t>
            </w:r>
          </w:p>
        </w:tc>
        <w:tc>
          <w:tcPr>
            <w:tcW w:type="dxa" w:w="2520"/>
            <w:vAlign w:val="center"/>
            <w:shd w:fill="A7193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20"/>
            <w:vAlign w:val="center"/>
            <w:shd w:fill="A7193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2520"/>
            <w:vAlign w:val="center"/>
            <w:shd w:fill="A71930"/>
          </w:tcPr>
          <w:p>
            <w:r/>
            <w:r>
              <w:rPr>
                <w:rFonts w:ascii="Aptos" w:hAnsi="Aptos"/>
                <w:b/>
                <w:color w:val="171717"/>
                <w:sz w:val="19"/>
              </w:rPr>
              <w:t>Axom Red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#A71930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Primary brand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Logo, key actions, highlights</w:t>
            </w:r>
          </w:p>
        </w:tc>
      </w:tr>
      <w:tr>
        <w:tc>
          <w:tcPr>
            <w:tcW w:type="dxa" w:w="2520"/>
            <w:vAlign w:val="center"/>
            <w:shd w:fill="171717"/>
          </w:tcPr>
          <w:p>
            <w:r/>
            <w:r>
              <w:rPr>
                <w:rFonts w:ascii="Aptos" w:hAnsi="Aptos"/>
                <w:b/>
                <w:color w:val="171717"/>
                <w:sz w:val="19"/>
              </w:rPr>
              <w:t>Deep Charcoal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#171717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Primary neutral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Wordmark, headings, body text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ptos" w:hAnsi="Aptos"/>
                <w:b/>
                <w:color w:val="171717"/>
                <w:sz w:val="19"/>
              </w:rPr>
              <w:t>White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#FFFFFF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Primary background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UI, print, negative space</w:t>
            </w:r>
          </w:p>
        </w:tc>
      </w:tr>
      <w:tr>
        <w:tc>
          <w:tcPr>
            <w:tcW w:type="dxa" w:w="2520"/>
            <w:vAlign w:val="center"/>
            <w:shd w:fill="F5F5F3"/>
          </w:tcPr>
          <w:p>
            <w:r/>
            <w:r>
              <w:rPr>
                <w:rFonts w:ascii="Aptos" w:hAnsi="Aptos"/>
                <w:b/>
                <w:color w:val="171717"/>
                <w:sz w:val="19"/>
              </w:rPr>
              <w:t>Mist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#F5F5F3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Soft surface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Cards, sections, subtle backgrounds</w:t>
            </w:r>
          </w:p>
        </w:tc>
      </w:tr>
      <w:tr>
        <w:tc>
          <w:tcPr>
            <w:tcW w:type="dxa" w:w="2520"/>
            <w:vAlign w:val="center"/>
            <w:shd w:fill="E5E5E5"/>
          </w:tcPr>
          <w:p>
            <w:r/>
            <w:r>
              <w:rPr>
                <w:rFonts w:ascii="Aptos" w:hAnsi="Aptos"/>
                <w:b/>
                <w:color w:val="171717"/>
                <w:sz w:val="19"/>
              </w:rPr>
              <w:t>Soft Grey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#E5E5E5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Structure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Borders, dividers, disabled UI</w:t>
            </w:r>
          </w:p>
        </w:tc>
      </w:tr>
      <w:tr>
        <w:tc>
          <w:tcPr>
            <w:tcW w:type="dxa" w:w="2520"/>
            <w:vAlign w:val="center"/>
            <w:shd w:fill="6B7280"/>
          </w:tcPr>
          <w:p>
            <w:r/>
            <w:r>
              <w:rPr>
                <w:rFonts w:ascii="Aptos" w:hAnsi="Aptos"/>
                <w:b/>
                <w:color w:val="171717"/>
                <w:sz w:val="19"/>
              </w:rPr>
              <w:t>Secondary Grey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#6B7280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Muted text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Metadata, helper text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3"/>
          </w:tcPr>
          <w:p>
            <w:r>
              <w:rPr>
                <w:b/>
                <w:color w:val="A71930"/>
                <w:sz w:val="22"/>
              </w:rPr>
              <w:t>Colour rule</w:t>
              <w:br/>
            </w:r>
            <w:r>
              <w:rPr>
                <w:color w:val="171717"/>
                <w:sz w:val="20"/>
              </w:rPr>
              <w:t>Red should be used with restraint. The identity is not “everything red”; white space and charcoal create the premium, modern feel.</w:t>
            </w:r>
          </w:p>
        </w:tc>
      </w:tr>
    </w:tbl>
    <w:p>
      <w:pPr>
        <w:spacing w:after="20"/>
      </w:pPr>
    </w:p>
    <w:p>
      <w:pPr>
        <w:pStyle w:val="Heading1"/>
      </w:pPr>
      <w:r>
        <w:t>6. Typography</w:t>
      </w:r>
    </w:p>
    <w:p>
      <w:r>
        <w:t>Typography should feel contemporary, highly legible and software-oriented.</w:t>
      </w:r>
    </w:p>
    <w:p>
      <w:pPr>
        <w:pStyle w:val="Heading2"/>
      </w:pPr>
      <w:r>
        <w:t>English</w:t>
      </w:r>
    </w:p>
    <w:p>
      <w:r>
        <w:t>Preferred direction: Inter, Manrope or Geist. Select one family as the production standard after testing across web and mobile.</w:t>
      </w:r>
    </w:p>
    <w:p>
      <w:pPr>
        <w:pStyle w:val="Heading2"/>
      </w:pPr>
      <w:r>
        <w:t>Assamese</w:t>
      </w:r>
    </w:p>
    <w:p>
      <w:r>
        <w:t>Use a high-quality Unicode Assamese typeface with strong screen readability. Test it against the chosen English font so bilingual headings and body copy feel like one system.</w:t>
      </w:r>
    </w:p>
    <w:p>
      <w:pPr>
        <w:pStyle w:val="Heading2"/>
      </w:pPr>
      <w:r>
        <w:t>Hierarchy</w:t>
      </w:r>
    </w:p>
    <w:p>
      <w:pPr>
        <w:pStyle w:val="ListBullet"/>
        <w:spacing w:after="40"/>
      </w:pPr>
      <w:r>
        <w:t>Large display heading — bold, short and confident.</w:t>
      </w:r>
    </w:p>
    <w:p>
      <w:pPr>
        <w:pStyle w:val="ListBullet"/>
        <w:spacing w:after="40"/>
      </w:pPr>
      <w:r>
        <w:t>Section heading — clear and compact.</w:t>
      </w:r>
    </w:p>
    <w:p>
      <w:pPr>
        <w:pStyle w:val="ListBullet"/>
        <w:spacing w:after="40"/>
      </w:pPr>
      <w:r>
        <w:t>Body — highly readable, normal weight.</w:t>
      </w:r>
    </w:p>
    <w:p>
      <w:pPr>
        <w:pStyle w:val="ListBullet"/>
        <w:spacing w:after="40"/>
      </w:pPr>
      <w:r>
        <w:t>Metadata — small, muted and functional.</w:t>
      </w:r>
    </w:p>
    <w:p>
      <w:pPr>
        <w:pStyle w:val="ListBullet"/>
        <w:spacing w:after="40"/>
      </w:pPr>
      <w:r>
        <w:t>Numbers/scores — strong and highly legible.</w:t>
      </w:r>
    </w:p>
    <w:p>
      <w:pPr>
        <w:pStyle w:val="Heading1"/>
      </w:pPr>
      <w:r>
        <w:t>7. Rang Ghar Design Language</w:t>
      </w:r>
    </w:p>
    <w:p>
      <w:r>
        <w:t>The visual system should abstract architectural characteristics rather than repeatedly showing a literal Rang Ghar.</w:t>
      </w:r>
    </w:p>
    <w:p>
      <w:pPr>
        <w:pStyle w:val="ListBullet"/>
        <w:spacing w:after="40"/>
      </w:pPr>
      <w:r>
        <w:t>Broad curved roof-like arcs for section separators and hero backgrounds.</w:t>
      </w:r>
    </w:p>
    <w:p>
      <w:pPr>
        <w:pStyle w:val="ListBullet"/>
        <w:spacing w:after="40"/>
      </w:pPr>
      <w:r>
        <w:t>Repeated arch geometry for cards, tabs or subtle decorative framing.</w:t>
      </w:r>
    </w:p>
    <w:p>
      <w:pPr>
        <w:pStyle w:val="ListBullet"/>
        <w:spacing w:after="40"/>
      </w:pPr>
      <w:r>
        <w:t>Horizontal bands to establish hierarchy.</w:t>
      </w:r>
    </w:p>
    <w:p>
      <w:pPr>
        <w:pStyle w:val="ListBullet"/>
        <w:spacing w:after="40"/>
      </w:pPr>
      <w:r>
        <w:t>Strong symmetry for major brand compositions.</w:t>
      </w:r>
    </w:p>
    <w:p>
      <w:pPr>
        <w:pStyle w:val="ListBullet"/>
        <w:spacing w:after="40"/>
      </w:pPr>
      <w:r>
        <w:t>Generous negative space to keep the identity contemporary.</w:t>
      </w:r>
    </w:p>
    <w:p>
      <w:pPr>
        <w:pStyle w:val="ListBullet"/>
        <w:spacing w:after="40"/>
      </w:pPr>
      <w:r>
        <w:t>Simple architectural silhouettes in illustrations.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3"/>
          </w:tcPr>
          <w:p>
            <w:r>
              <w:rPr>
                <w:b/>
                <w:color w:val="A71930"/>
                <w:sz w:val="22"/>
              </w:rPr>
              <w:t>Do not overuse it</w:t>
              <w:br/>
            </w:r>
            <w:r>
              <w:rPr>
                <w:color w:val="171717"/>
                <w:sz w:val="20"/>
              </w:rPr>
              <w:t>The Rang Ghar connection should be felt more often than it is seen. Most product screens should remain clean and functional.</w:t>
            </w:r>
          </w:p>
        </w:tc>
      </w:tr>
    </w:tbl>
    <w:p>
      <w:pPr>
        <w:spacing w:after="20"/>
      </w:pPr>
    </w:p>
    <w:p>
      <w:pPr>
        <w:pStyle w:val="Heading1"/>
      </w:pPr>
      <w:r>
        <w:t>8. Iconography</w:t>
      </w:r>
    </w:p>
    <w:p>
      <w:r>
        <w:t>Create a custom geometric icon family derived from the visual proportions of the logo.</w:t>
      </w:r>
    </w:p>
    <w:p>
      <w:pPr>
        <w:pStyle w:val="ListBullet"/>
        <w:spacing w:after="40"/>
      </w:pPr>
      <w:r>
        <w:t>Mock Test</w:t>
      </w:r>
    </w:p>
    <w:p>
      <w:pPr>
        <w:pStyle w:val="ListBullet"/>
        <w:spacing w:after="40"/>
      </w:pPr>
      <w:r>
        <w:t>PYQ Vault</w:t>
      </w:r>
    </w:p>
    <w:p>
      <w:pPr>
        <w:pStyle w:val="ListBullet"/>
        <w:spacing w:after="40"/>
      </w:pPr>
      <w:r>
        <w:t>Assam GK</w:t>
      </w:r>
    </w:p>
    <w:p>
      <w:pPr>
        <w:pStyle w:val="ListBullet"/>
        <w:spacing w:after="40"/>
      </w:pPr>
      <w:r>
        <w:t>Current Affairs</w:t>
      </w:r>
    </w:p>
    <w:p>
      <w:pPr>
        <w:pStyle w:val="ListBullet"/>
        <w:spacing w:after="40"/>
      </w:pPr>
      <w:r>
        <w:t>Practice</w:t>
      </w:r>
    </w:p>
    <w:p>
      <w:pPr>
        <w:pStyle w:val="ListBullet"/>
        <w:spacing w:after="40"/>
      </w:pPr>
      <w:r>
        <w:t>Analytics</w:t>
      </w:r>
    </w:p>
    <w:p>
      <w:pPr>
        <w:pStyle w:val="ListBullet"/>
        <w:spacing w:after="40"/>
      </w:pPr>
      <w:r>
        <w:t>Mistake Bank</w:t>
      </w:r>
    </w:p>
    <w:p>
      <w:pPr>
        <w:pStyle w:val="ListBullet"/>
        <w:spacing w:after="40"/>
      </w:pPr>
      <w:r>
        <w:t>Revision</w:t>
      </w:r>
    </w:p>
    <w:p>
      <w:pPr>
        <w:pStyle w:val="ListBullet"/>
        <w:spacing w:after="40"/>
      </w:pPr>
      <w:r>
        <w:t>Rank</w:t>
      </w:r>
    </w:p>
    <w:p>
      <w:pPr>
        <w:pStyle w:val="ListBullet"/>
        <w:spacing w:after="40"/>
      </w:pPr>
      <w:r>
        <w:t>Study Plan</w:t>
      </w:r>
    </w:p>
    <w:p>
      <w:pPr>
        <w:pStyle w:val="ListBullet"/>
        <w:spacing w:after="40"/>
      </w:pPr>
      <w:r>
        <w:t>Performance</w:t>
      </w:r>
    </w:p>
    <w:p>
      <w:pPr>
        <w:pStyle w:val="ListBullet"/>
        <w:spacing w:after="40"/>
      </w:pPr>
      <w:r>
        <w:t>Profile</w:t>
      </w:r>
    </w:p>
    <w:p>
      <w:pPr>
        <w:pStyle w:val="Heading1"/>
      </w:pPr>
      <w:r>
        <w:t>9. Product Brand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A7193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Brand</w:t>
            </w:r>
          </w:p>
        </w:tc>
        <w:tc>
          <w:tcPr>
            <w:tcW w:type="dxa" w:w="3360"/>
            <w:vAlign w:val="center"/>
            <w:shd w:fill="A7193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3360"/>
            <w:vAlign w:val="center"/>
            <w:shd w:fill="A7193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AxomRank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ADRE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Core ADRE preparation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AxomRank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Mock Arena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Full and sectional mock tests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AxomRank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PYQ Vault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Previous-year question practice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AxomRank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Mistake Bank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Automatic wrong-answer revision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AxomRank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Daily 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Daily short practice habit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AxomRank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Assam GK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Assam-specific knowledge system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AxomRank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Current Affairs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71717"/>
                <w:sz w:val="19"/>
              </w:rPr>
              <w:t>Exam-oriented current affairs</w:t>
            </w:r>
          </w:p>
        </w:tc>
      </w:tr>
    </w:tbl>
    <w:p>
      <w:pPr>
        <w:pStyle w:val="Heading1"/>
      </w:pPr>
      <w:r>
        <w:t>10. AxomRank Score</w:t>
      </w:r>
    </w:p>
    <w:p>
      <w:r>
        <w:t>AxomRank Score should become a signature product concept: a transparent performance indicator that helps students see improvement over time.</w:t>
      </w:r>
    </w:p>
    <w:p>
      <w:r>
        <w:t>Example display: “AxomRank Score 742  |  +61 this month”.</w:t>
      </w:r>
    </w:p>
    <w:p>
      <w:r>
        <w:t>The underlying calculation should combine relevant performance signals such as accuracy, speed, consistency and difficulty-adjusted performance. The methodology should be documented rather than presented as a mysterious AI score.</w:t>
      </w:r>
    </w:p>
    <w:p>
      <w:pPr>
        <w:pStyle w:val="Heading1"/>
      </w:pPr>
      <w:r>
        <w:t>11. Voice &amp; Messaging</w:t>
      </w:r>
    </w:p>
    <w:p>
      <w:pPr>
        <w:pStyle w:val="Heading2"/>
      </w:pPr>
      <w:r>
        <w:t>Voice</w:t>
      </w:r>
    </w:p>
    <w:p>
      <w:pPr>
        <w:pStyle w:val="ListBullet"/>
        <w:spacing w:after="40"/>
      </w:pPr>
      <w:r>
        <w:t>Short</w:t>
      </w:r>
    </w:p>
    <w:p>
      <w:pPr>
        <w:pStyle w:val="ListBullet"/>
        <w:spacing w:after="40"/>
      </w:pPr>
      <w:r>
        <w:t>Confident</w:t>
      </w:r>
    </w:p>
    <w:p>
      <w:pPr>
        <w:pStyle w:val="ListBullet"/>
        <w:spacing w:after="40"/>
      </w:pPr>
      <w:r>
        <w:t>Useful</w:t>
      </w:r>
    </w:p>
    <w:p>
      <w:pPr>
        <w:pStyle w:val="ListBullet"/>
        <w:spacing w:after="40"/>
      </w:pPr>
      <w:r>
        <w:t>Specific</w:t>
      </w:r>
    </w:p>
    <w:p>
      <w:pPr>
        <w:pStyle w:val="ListBullet"/>
        <w:spacing w:after="40"/>
      </w:pPr>
      <w:r>
        <w:t>Data-aware</w:t>
      </w:r>
    </w:p>
    <w:p>
      <w:pPr>
        <w:pStyle w:val="ListBullet"/>
        <w:spacing w:after="40"/>
      </w:pPr>
      <w:r>
        <w:t>Respectful</w:t>
      </w:r>
    </w:p>
    <w:p>
      <w:pPr>
        <w:pStyle w:val="Heading2"/>
      </w:pPr>
      <w:r>
        <w:t>Preferred messaging style</w:t>
      </w:r>
    </w:p>
    <w:p>
      <w:r>
        <w:t>Instead of generic motivation: “Work hard and achieve your dreams.”</w:t>
      </w:r>
    </w:p>
    <w:p>
      <w:r>
        <w:t>Prefer: “118/150. Your accuracy is strong. Arithmetic is holding you back.”</w:t>
      </w:r>
    </w:p>
    <w:p>
      <w:r>
        <w:t>The product should speak like a smart senior aspirant or coach: direct, practical and evidence-oriented.</w:t>
      </w:r>
    </w:p>
    <w:p>
      <w:pPr>
        <w:pStyle w:val="Heading1"/>
      </w:pPr>
      <w:r>
        <w:t>12. Social &amp; Content Identity</w:t>
      </w:r>
    </w:p>
    <w:p>
      <w:pPr>
        <w:pStyle w:val="ListBullet"/>
        <w:spacing w:after="40"/>
      </w:pPr>
      <w:r>
        <w:t>Question of the Day</w:t>
      </w:r>
    </w:p>
    <w:p>
      <w:pPr>
        <w:pStyle w:val="ListBullet"/>
        <w:spacing w:after="40"/>
      </w:pPr>
      <w:r>
        <w:t>Assam GK</w:t>
      </w:r>
    </w:p>
    <w:p>
      <w:pPr>
        <w:pStyle w:val="ListBullet"/>
        <w:spacing w:after="40"/>
      </w:pPr>
      <w:r>
        <w:t>PYQ of the Day</w:t>
      </w:r>
    </w:p>
    <w:p>
      <w:pPr>
        <w:pStyle w:val="ListBullet"/>
        <w:spacing w:after="40"/>
      </w:pPr>
      <w:r>
        <w:t>Current Affairs</w:t>
      </w:r>
    </w:p>
    <w:p>
      <w:pPr>
        <w:pStyle w:val="ListBullet"/>
        <w:spacing w:after="40"/>
      </w:pPr>
      <w:r>
        <w:t>Mock Result</w:t>
      </w:r>
    </w:p>
    <w:p>
      <w:pPr>
        <w:pStyle w:val="ListBullet"/>
        <w:spacing w:after="40"/>
      </w:pPr>
      <w:r>
        <w:t>Rank/Improvement</w:t>
      </w:r>
    </w:p>
    <w:p>
      <w:pPr>
        <w:pStyle w:val="ListBullet"/>
        <w:spacing w:after="40"/>
      </w:pPr>
      <w:r>
        <w:t>Study Strategy</w:t>
      </w:r>
    </w:p>
    <w:p>
      <w:pPr>
        <w:pStyle w:val="ListBullet"/>
        <w:spacing w:after="40"/>
      </w:pPr>
      <w:r>
        <w:t>Exam Updates</w:t>
      </w:r>
    </w:p>
    <w:p>
      <w:r>
        <w:t>All templates should use the same red/charcoal/white palette, typography and Rang Ghar geometric grammar so a post is recognisable as AxomRank before the account name is read.</w:t>
      </w:r>
    </w:p>
    <w:p>
      <w:pPr>
        <w:pStyle w:val="Heading1"/>
      </w:pPr>
      <w:r>
        <w:t>13. UI / Digital Design Principles</w:t>
      </w:r>
    </w:p>
    <w:p>
      <w:pPr>
        <w:pStyle w:val="ListBullet"/>
        <w:spacing w:after="40"/>
      </w:pPr>
      <w:r>
        <w:t>Mobile-first</w:t>
      </w:r>
    </w:p>
    <w:p>
      <w:pPr>
        <w:pStyle w:val="ListBullet"/>
        <w:spacing w:after="40"/>
      </w:pPr>
      <w:r>
        <w:t>Fast and lightweight</w:t>
      </w:r>
    </w:p>
    <w:p>
      <w:pPr>
        <w:pStyle w:val="ListBullet"/>
        <w:spacing w:after="40"/>
      </w:pPr>
      <w:r>
        <w:t>High contrast and accessible</w:t>
      </w:r>
    </w:p>
    <w:p>
      <w:pPr>
        <w:pStyle w:val="ListBullet"/>
        <w:spacing w:after="40"/>
      </w:pPr>
      <w:r>
        <w:t>Generous white space</w:t>
      </w:r>
    </w:p>
    <w:p>
      <w:pPr>
        <w:pStyle w:val="ListBullet"/>
        <w:spacing w:after="40"/>
      </w:pPr>
      <w:r>
        <w:t>Clear hierarchy</w:t>
      </w:r>
    </w:p>
    <w:p>
      <w:pPr>
        <w:pStyle w:val="ListBullet"/>
        <w:spacing w:after="40"/>
      </w:pPr>
      <w:r>
        <w:t>Minimal decorative elements</w:t>
      </w:r>
    </w:p>
    <w:p>
      <w:pPr>
        <w:pStyle w:val="ListBullet"/>
        <w:spacing w:after="40"/>
      </w:pPr>
      <w:r>
        <w:t>Data visualisations that prioritise comprehension</w:t>
      </w:r>
    </w:p>
    <w:p>
      <w:pPr>
        <w:pStyle w:val="ListBullet"/>
        <w:spacing w:after="40"/>
      </w:pPr>
      <w:r>
        <w:t>Consistent states for loading, success, error, empty and locked content</w:t>
      </w:r>
    </w:p>
    <w:p>
      <w:pPr>
        <w:pStyle w:val="Heading1"/>
      </w:pPr>
      <w:r>
        <w:t>14. Photography &amp; Illustration</w:t>
      </w:r>
    </w:p>
    <w:p>
      <w:r>
        <w:t>Use real Assam and real aspirants wherever photography is needed. Prefer natural light, authentic environments and documentary-style moments.</w:t>
      </w:r>
    </w:p>
    <w:p>
      <w:r>
        <w:t>Avoid generic stock imagery such as staged laptop users, exaggerated success poses and cliché coaching-centre visuals.</w:t>
      </w:r>
    </w:p>
    <w:p>
      <w:r>
        <w:t>Illustrations should be minimal, geometric and compatible with the Rang Ghar design grammar.</w:t>
      </w:r>
    </w:p>
    <w:p>
      <w:pPr>
        <w:pStyle w:val="Heading1"/>
      </w:pPr>
      <w:r>
        <w:t>15. Brand Applications</w:t>
      </w:r>
    </w:p>
    <w:p>
      <w:pPr>
        <w:pStyle w:val="ListBullet"/>
        <w:spacing w:after="40"/>
      </w:pPr>
      <w:r>
        <w:t>Website and mobile app</w:t>
      </w:r>
    </w:p>
    <w:p>
      <w:pPr>
        <w:pStyle w:val="ListBullet"/>
        <w:spacing w:after="40"/>
      </w:pPr>
      <w:r>
        <w:t>Favicon and app icon</w:t>
      </w:r>
    </w:p>
    <w:p>
      <w:pPr>
        <w:pStyle w:val="ListBullet"/>
        <w:spacing w:after="40"/>
      </w:pPr>
      <w:r>
        <w:t>Instagram/Facebook/YouTube</w:t>
      </w:r>
    </w:p>
    <w:p>
      <w:pPr>
        <w:pStyle w:val="ListBullet"/>
        <w:spacing w:after="40"/>
      </w:pPr>
      <w:r>
        <w:t>Telegram and WhatsApp</w:t>
      </w:r>
    </w:p>
    <w:p>
      <w:pPr>
        <w:pStyle w:val="ListBullet"/>
        <w:spacing w:after="40"/>
      </w:pPr>
      <w:r>
        <w:t>Mock-test reports</w:t>
      </w:r>
    </w:p>
    <w:p>
      <w:pPr>
        <w:pStyle w:val="ListBullet"/>
        <w:spacing w:after="40"/>
      </w:pPr>
      <w:r>
        <w:t>Question papers and PDFs</w:t>
      </w:r>
    </w:p>
    <w:p>
      <w:pPr>
        <w:pStyle w:val="ListBullet"/>
        <w:spacing w:after="40"/>
      </w:pPr>
      <w:r>
        <w:t>Certificates</w:t>
      </w:r>
    </w:p>
    <w:p>
      <w:pPr>
        <w:pStyle w:val="ListBullet"/>
        <w:spacing w:after="40"/>
      </w:pPr>
      <w:r>
        <w:t>Email templates</w:t>
      </w:r>
    </w:p>
    <w:p>
      <w:pPr>
        <w:pStyle w:val="ListBullet"/>
        <w:spacing w:after="40"/>
      </w:pPr>
      <w:r>
        <w:t>Digital advertisements</w:t>
      </w:r>
    </w:p>
    <w:p>
      <w:pPr>
        <w:pStyle w:val="ListBullet"/>
        <w:spacing w:after="40"/>
      </w:pPr>
      <w:r>
        <w:t>Future merchandise or event material</w:t>
      </w:r>
    </w:p>
    <w:p>
      <w:pPr>
        <w:pStyle w:val="Heading1"/>
      </w:pPr>
      <w:r>
        <w:t>16. Brand Guidelines Checklist</w:t>
      </w:r>
    </w:p>
    <w:p>
      <w:pPr>
        <w:pStyle w:val="ListBullet"/>
        <w:spacing w:after="40"/>
      </w:pPr>
      <w:r>
        <w:t>Final logo files in SVG/PNG</w:t>
      </w:r>
    </w:p>
    <w:p>
      <w:pPr>
        <w:pStyle w:val="ListBullet"/>
        <w:spacing w:after="40"/>
      </w:pPr>
      <w:r>
        <w:t>Primary/secondary logo lock-ups</w:t>
      </w:r>
    </w:p>
    <w:p>
      <w:pPr>
        <w:pStyle w:val="ListBullet"/>
        <w:spacing w:after="40"/>
      </w:pPr>
      <w:r>
        <w:t>Clear-space and minimum-size rules</w:t>
      </w:r>
    </w:p>
    <w:p>
      <w:pPr>
        <w:pStyle w:val="ListBullet"/>
        <w:spacing w:after="40"/>
      </w:pPr>
      <w:r>
        <w:t>Approved colour swatches</w:t>
      </w:r>
    </w:p>
    <w:p>
      <w:pPr>
        <w:pStyle w:val="ListBullet"/>
        <w:spacing w:after="40"/>
      </w:pPr>
      <w:r>
        <w:t>English and Assamese typography</w:t>
      </w:r>
    </w:p>
    <w:p>
      <w:pPr>
        <w:pStyle w:val="ListBullet"/>
        <w:spacing w:after="40"/>
      </w:pPr>
      <w:r>
        <w:t>Icon set</w:t>
      </w:r>
    </w:p>
    <w:p>
      <w:pPr>
        <w:pStyle w:val="ListBullet"/>
        <w:spacing w:after="40"/>
      </w:pPr>
      <w:r>
        <w:t>Rang Ghar geometric primitives</w:t>
      </w:r>
    </w:p>
    <w:p>
      <w:pPr>
        <w:pStyle w:val="ListBullet"/>
        <w:spacing w:after="40"/>
      </w:pPr>
      <w:r>
        <w:t>Social templates</w:t>
      </w:r>
    </w:p>
    <w:p>
      <w:pPr>
        <w:pStyle w:val="ListBullet"/>
        <w:spacing w:after="40"/>
      </w:pPr>
      <w:r>
        <w:t>UI component library</w:t>
      </w:r>
    </w:p>
    <w:p>
      <w:pPr>
        <w:pStyle w:val="ListBullet"/>
        <w:spacing w:after="40"/>
      </w:pPr>
      <w:r>
        <w:t>Tone-of-voice examples</w:t>
      </w:r>
    </w:p>
    <w:p>
      <w:pPr>
        <w:pStyle w:val="ListBullet"/>
        <w:spacing w:after="40"/>
      </w:pPr>
      <w:r>
        <w:t>Product naming rules</w:t>
      </w:r>
    </w:p>
    <w:p>
      <w:pPr>
        <w:pStyle w:val="ListBullet"/>
        <w:spacing w:after="40"/>
      </w:pPr>
      <w:r>
        <w:t>Correct/incorrect usage examples</w:t>
      </w:r>
    </w:p>
    <w:p>
      <w:pPr>
        <w:pStyle w:val="Heading1"/>
      </w:pPr>
      <w:r>
        <w:t>17. Immediate Next Steps</w:t>
      </w:r>
    </w:p>
    <w:p>
      <w:r>
        <w:rPr>
          <w:b/>
        </w:rPr>
        <w:t xml:space="preserve">1. </w:t>
      </w:r>
      <w:r>
        <w:t>Finalize the Rang Ghar-inspired logo as a vector identity.</w:t>
      </w:r>
    </w:p>
    <w:p>
      <w:r>
        <w:rPr>
          <w:b/>
        </w:rPr>
        <w:t xml:space="preserve">2. </w:t>
      </w:r>
      <w:r>
        <w:t>Lock the Axom Red / Charcoal / White palette.</w:t>
      </w:r>
    </w:p>
    <w:p>
      <w:r>
        <w:rPr>
          <w:b/>
        </w:rPr>
        <w:t xml:space="preserve">3. </w:t>
      </w:r>
      <w:r>
        <w:t>Select and test the English and Assamese typefaces.</w:t>
      </w:r>
    </w:p>
    <w:p>
      <w:r>
        <w:rPr>
          <w:b/>
        </w:rPr>
        <w:t xml:space="preserve">4. </w:t>
      </w:r>
      <w:r>
        <w:t>Build the Rang Ghar geometric design language.</w:t>
      </w:r>
    </w:p>
    <w:p>
      <w:r>
        <w:rPr>
          <w:b/>
        </w:rPr>
        <w:t xml:space="preserve">5. </w:t>
      </w:r>
      <w:r>
        <w:t>Create the icon family.</w:t>
      </w:r>
    </w:p>
    <w:p>
      <w:r>
        <w:rPr>
          <w:b/>
        </w:rPr>
        <w:t xml:space="preserve">6. </w:t>
      </w:r>
      <w:r>
        <w:t>Create the AxomRank UI design system.</w:t>
      </w:r>
    </w:p>
    <w:p>
      <w:r>
        <w:rPr>
          <w:b/>
        </w:rPr>
        <w:t xml:space="preserve">7. </w:t>
      </w:r>
      <w:r>
        <w:t>Create social-media templates.</w:t>
      </w:r>
    </w:p>
    <w:p>
      <w:r>
        <w:rPr>
          <w:b/>
        </w:rPr>
        <w:t xml:space="preserve">8. </w:t>
      </w:r>
      <w:r>
        <w:t>Produce the final brand guidelines PDF after the above elements are approved.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AXOMRANK  |  BRAND IDENTITY GUIDE  |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17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A7193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171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A7193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A7193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