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108960" cy="31089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108960" cy="3108960"/>
                    </a:xfrm>
                    <a:prstGeom prst="rect">
                      <a:avLst/>
                    </a:prstGeom>
                  </pic:spPr>
                </pic:pic>
              </a:graphicData>
            </a:graphic>
          </wp:inline>
        </w:drawing>
      </w:r>
    </w:p>
    <w:p>
      <w:pPr>
        <w:pStyle w:val="Normal"/>
        <w:jc w:val="center"/>
        <w:rPr/>
      </w:pPr>
      <w:r>
        <w:rPr>
          <w:b/>
          <w:color w:val="17324D"/>
          <w:sz w:val="60"/>
        </w:rPr>
        <w:t>GENO</w:t>
      </w:r>
      <w:r>
        <w:rPr>
          <w:b/>
          <w:color w:val="17324D"/>
          <w:sz w:val="60"/>
        </w:rPr>
        <w:t>TASTE</w:t>
      </w:r>
    </w:p>
    <w:p>
      <w:pPr>
        <w:pStyle w:val="Normal"/>
        <w:jc w:val="center"/>
        <w:rPr/>
      </w:pPr>
      <w:r>
        <w:rPr>
          <w:b/>
          <w:color w:val="D99A16"/>
          <w:sz w:val="28"/>
        </w:rPr>
        <w:t>BRAND IDENTITY</w:t>
      </w:r>
    </w:p>
    <w:p>
      <w:pPr>
        <w:pStyle w:val="Normal"/>
        <w:jc w:val="center"/>
        <w:rPr/>
      </w:pPr>
      <w:r>
        <w:rPr>
          <w:i/>
        </w:rPr>
        <w:t>From genetic information to clearer wellness decisions.</w:t>
      </w:r>
    </w:p>
    <w:p>
      <w:pPr>
        <w:pStyle w:val="Normal"/>
        <w:rPr/>
      </w:pPr>
      <w:r>
        <w:rPr/>
      </w:r>
      <w:r>
        <w:br w:type="page"/>
      </w:r>
    </w:p>
    <w:p>
      <w:pPr>
        <w:pStyle w:val="Heading1"/>
        <w:spacing w:before="0" w:after="0"/>
        <w:rPr/>
      </w:pPr>
      <w:r>
        <w:rPr/>
        <w:t>1. Brand Foundation</w:t>
      </w:r>
    </w:p>
    <w:p>
      <w:pPr>
        <w:pStyle w:val="Normal"/>
        <w:rPr/>
      </w:pPr>
      <w:r>
        <w:rPr/>
        <w:t>GenoLoom is a client-facing genomic wellness consulting brand. Testing and the genetic report are supplied through the associated testing ecosystem; GenoLoom owns the client-facing interpretation, education, prioritization, practical guidance and follow-through.</w:t>
      </w:r>
    </w:p>
    <w:p>
      <w:pPr>
        <w:pStyle w:val="Heading2"/>
        <w:rPr/>
      </w:pPr>
      <w:r>
        <w:rPr/>
        <w:t>Brand role</w:t>
      </w:r>
    </w:p>
    <w:p>
      <w:pPr>
        <w:pStyle w:val="Normal"/>
        <w:rPr/>
      </w:pPr>
      <w:r>
        <w:rPr/>
        <w:t>Interpretation • Education • Personalization • Guidance • Accountability</w:t>
      </w:r>
    </w:p>
    <w:p>
      <w:pPr>
        <w:pStyle w:val="Heading2"/>
        <w:rPr/>
      </w:pPr>
      <w:r>
        <w:rPr/>
        <w:t>Core promise</w:t>
      </w:r>
    </w:p>
    <w:p>
      <w:pPr>
        <w:pStyle w:val="Normal"/>
        <w:rPr/>
      </w:pPr>
      <w:r>
        <w:rPr/>
        <w:t>Make complex genetic wellness information understandable, relevant and actionable—without turning a genetic report into fear, diagnosis or false certainty.</w:t>
      </w:r>
    </w:p>
    <w:p>
      <w:pPr>
        <w:pStyle w:val="Heading1"/>
        <w:rPr/>
      </w:pPr>
      <w:r>
        <w:rPr/>
        <w:t>2. The Finalized Logo Story</w:t>
      </w:r>
    </w:p>
    <w:p>
      <w:pPr>
        <w:pStyle w:val="Normal"/>
        <w:rPr/>
      </w:pPr>
      <w:r>
        <w:rPr/>
        <w:t>The approved symbol tells a simple upward journey: a backpacked learner climbs a curved ladder/path toward a red four-point star. The ladder represents structured learning and progress; the person is the client; the star is insight and achievement; the gold and green curves suggest growth and an ongoing wellness journey.</w:t>
      </w:r>
    </w:p>
    <w:p>
      <w:pPr>
        <w:pStyle w:val="ListBullet"/>
        <w:numPr>
          <w:ilvl w:val="0"/>
          <w:numId w:val="1"/>
        </w:numPr>
        <w:rPr/>
      </w:pPr>
      <w:r>
        <w:rPr/>
        <w:t>No literal DNA helix—avoiding a crowded and overused genetics visual language.</w:t>
      </w:r>
    </w:p>
    <w:p>
      <w:pPr>
        <w:pStyle w:val="ListBullet"/>
        <w:numPr>
          <w:ilvl w:val="0"/>
          <w:numId w:val="1"/>
        </w:numPr>
        <w:rPr/>
      </w:pPr>
      <w:r>
        <w:rPr/>
        <w:t>The backpack makes learning and guidance part of the identity.</w:t>
      </w:r>
    </w:p>
    <w:p>
      <w:pPr>
        <w:pStyle w:val="ListBullet"/>
        <w:numPr>
          <w:ilvl w:val="0"/>
          <w:numId w:val="1"/>
        </w:numPr>
        <w:rPr/>
      </w:pPr>
      <w:r>
        <w:rPr/>
        <w:t>The curved ladder/path is the distinctive recognition element.</w:t>
      </w:r>
    </w:p>
    <w:p>
      <w:pPr>
        <w:pStyle w:val="ListBullet"/>
        <w:numPr>
          <w:ilvl w:val="0"/>
          <w:numId w:val="1"/>
        </w:numPr>
        <w:rPr/>
      </w:pPr>
      <w:r>
        <w:rPr/>
        <w:t>The red star creates a memorable focal point and achievement cue.</w:t>
      </w:r>
    </w:p>
    <w:p>
      <w:pPr>
        <w:pStyle w:val="ListBullet"/>
        <w:numPr>
          <w:ilvl w:val="0"/>
          <w:numId w:val="1"/>
        </w:numPr>
        <w:rPr/>
      </w:pPr>
      <w:r>
        <w:rPr/>
        <w:t>Gold and light green communicate optimism, growth and natural wellness.</w:t>
      </w:r>
    </w:p>
    <w:p>
      <w:pPr>
        <w:pStyle w:val="Heading1"/>
        <w:rPr/>
      </w:pPr>
      <w:r>
        <w:rPr/>
        <w:t>3. Logo Rules</w:t>
      </w:r>
    </w:p>
    <w:p>
      <w:pPr>
        <w:pStyle w:val="ListBullet"/>
        <w:numPr>
          <w:ilvl w:val="0"/>
          <w:numId w:val="1"/>
        </w:numPr>
        <w:rPr/>
      </w:pPr>
      <w:r>
        <w:rPr/>
        <w:t>Keep the curved ladder/path intact.</w:t>
      </w:r>
    </w:p>
    <w:p>
      <w:pPr>
        <w:pStyle w:val="ListBullet"/>
        <w:numPr>
          <w:ilvl w:val="0"/>
          <w:numId w:val="1"/>
        </w:numPr>
        <w:rPr/>
      </w:pPr>
      <w:r>
        <w:rPr/>
        <w:t>Keep the backpacked figure readable at small sizes.</w:t>
      </w:r>
    </w:p>
    <w:p>
      <w:pPr>
        <w:pStyle w:val="ListBullet"/>
        <w:numPr>
          <w:ilvl w:val="0"/>
          <w:numId w:val="1"/>
        </w:numPr>
        <w:rPr/>
      </w:pPr>
      <w:r>
        <w:rPr/>
        <w:t>Keep the red four-point star as the focal accent.</w:t>
      </w:r>
    </w:p>
    <w:p>
      <w:pPr>
        <w:pStyle w:val="ListBullet"/>
        <w:numPr>
          <w:ilvl w:val="0"/>
          <w:numId w:val="1"/>
        </w:numPr>
        <w:rPr/>
      </w:pPr>
      <w:r>
        <w:rPr/>
        <w:t>Preserve generous negative space.</w:t>
      </w:r>
    </w:p>
    <w:p>
      <w:pPr>
        <w:pStyle w:val="ListBullet"/>
        <w:numPr>
          <w:ilvl w:val="0"/>
          <w:numId w:val="1"/>
        </w:numPr>
        <w:rPr/>
      </w:pPr>
      <w:r>
        <w:rPr/>
        <w:t>Do not add DNA, medical crosses, microscopes or generic molecule clusters.</w:t>
      </w:r>
    </w:p>
    <w:p>
      <w:pPr>
        <w:pStyle w:val="ListBullet"/>
        <w:numPr>
          <w:ilvl w:val="0"/>
          <w:numId w:val="1"/>
        </w:numPr>
        <w:rPr/>
      </w:pPr>
      <w:r>
        <w:rPr/>
        <w:t>Do not stretch, rotate, overcrowd or add unnecessary effects.</w:t>
      </w:r>
    </w:p>
    <w:p>
      <w:pPr>
        <w:pStyle w:val="Heading1"/>
        <w:rPr/>
      </w:pPr>
      <w:r>
        <w:rPr/>
        <w:t>4. Colour Identity</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shd w:fill="17324D"/>
          </w:tcPr>
          <w:p>
            <w:pPr>
              <w:pStyle w:val="Normal"/>
              <w:widowControl/>
              <w:bidi w:val="0"/>
              <w:spacing w:lineRule="auto" w:line="276" w:before="0" w:after="200"/>
              <w:jc w:val="left"/>
              <w:rPr/>
            </w:pPr>
            <w:r>
              <w:rPr>
                <w:b/>
                <w:color w:val="FFFFFF"/>
              </w:rPr>
              <w:t>Role</w:t>
            </w:r>
          </w:p>
        </w:tc>
        <w:tc>
          <w:tcPr>
            <w:tcW w:w="2520" w:type="dxa"/>
            <w:tcBorders/>
            <w:shd w:fill="17324D"/>
          </w:tcPr>
          <w:p>
            <w:pPr>
              <w:pStyle w:val="Normal"/>
              <w:widowControl/>
              <w:bidi w:val="0"/>
              <w:spacing w:lineRule="auto" w:line="276" w:before="0" w:after="200"/>
              <w:jc w:val="left"/>
              <w:rPr/>
            </w:pPr>
            <w:r>
              <w:rPr>
                <w:b/>
                <w:color w:val="FFFFFF"/>
              </w:rPr>
              <w:t>Colour</w:t>
            </w:r>
          </w:p>
        </w:tc>
        <w:tc>
          <w:tcPr>
            <w:tcW w:w="2520" w:type="dxa"/>
            <w:tcBorders/>
            <w:shd w:fill="17324D"/>
          </w:tcPr>
          <w:p>
            <w:pPr>
              <w:pStyle w:val="Normal"/>
              <w:widowControl/>
              <w:bidi w:val="0"/>
              <w:spacing w:lineRule="auto" w:line="276" w:before="0" w:after="200"/>
              <w:jc w:val="left"/>
              <w:rPr/>
            </w:pPr>
            <w:r>
              <w:rPr>
                <w:b/>
                <w:color w:val="FFFFFF"/>
              </w:rPr>
              <w:t>Hex</w:t>
            </w:r>
          </w:p>
        </w:tc>
        <w:tc>
          <w:tcPr>
            <w:tcW w:w="2519" w:type="dxa"/>
            <w:tcBorders/>
            <w:shd w:fill="17324D"/>
          </w:tcPr>
          <w:p>
            <w:pPr>
              <w:pStyle w:val="Normal"/>
              <w:widowControl/>
              <w:bidi w:val="0"/>
              <w:spacing w:lineRule="auto" w:line="276" w:before="0" w:after="200"/>
              <w:jc w:val="left"/>
              <w:rPr/>
            </w:pPr>
            <w:r>
              <w:rPr>
                <w:b/>
                <w:color w:val="FFFFFF"/>
              </w:rPr>
              <w:t>Use</w:t>
            </w:r>
          </w:p>
        </w:tc>
      </w:tr>
      <w:tr>
        <w:trPr/>
        <w:tc>
          <w:tcPr>
            <w:tcW w:w="2520" w:type="dxa"/>
            <w:tcBorders/>
          </w:tcPr>
          <w:p>
            <w:pPr>
              <w:pStyle w:val="Normal"/>
              <w:widowControl/>
              <w:bidi w:val="0"/>
              <w:spacing w:lineRule="auto" w:line="276" w:before="0" w:after="200"/>
              <w:jc w:val="left"/>
              <w:rPr/>
            </w:pPr>
            <w:r>
              <w:rPr/>
              <w:t>Primary Gold</w:t>
            </w:r>
          </w:p>
        </w:tc>
        <w:tc>
          <w:tcPr>
            <w:tcW w:w="2520" w:type="dxa"/>
            <w:tcBorders/>
          </w:tcPr>
          <w:p>
            <w:pPr>
              <w:pStyle w:val="Normal"/>
              <w:widowControl/>
              <w:bidi w:val="0"/>
              <w:spacing w:lineRule="auto" w:line="276" w:before="0" w:after="200"/>
              <w:jc w:val="left"/>
              <w:rPr/>
            </w:pPr>
            <w:r>
              <w:rPr/>
              <w:t>Warm Golden Amber</w:t>
            </w:r>
          </w:p>
        </w:tc>
        <w:tc>
          <w:tcPr>
            <w:tcW w:w="2520" w:type="dxa"/>
            <w:tcBorders/>
          </w:tcPr>
          <w:p>
            <w:pPr>
              <w:pStyle w:val="Normal"/>
              <w:widowControl/>
              <w:bidi w:val="0"/>
              <w:spacing w:lineRule="auto" w:line="276" w:before="0" w:after="200"/>
              <w:jc w:val="left"/>
              <w:rPr/>
            </w:pPr>
            <w:r>
              <w:rPr/>
              <w:t>#D99A16</w:t>
            </w:r>
          </w:p>
        </w:tc>
        <w:tc>
          <w:tcPr>
            <w:tcW w:w="2519" w:type="dxa"/>
            <w:tcBorders/>
          </w:tcPr>
          <w:p>
            <w:pPr>
              <w:pStyle w:val="Normal"/>
              <w:widowControl/>
              <w:bidi w:val="0"/>
              <w:spacing w:lineRule="auto" w:line="276" w:before="0" w:after="200"/>
              <w:jc w:val="left"/>
              <w:rPr/>
            </w:pPr>
            <w:r>
              <w:rPr/>
              <w:t>Logo, headings, highlights</w:t>
            </w:r>
          </w:p>
        </w:tc>
      </w:tr>
      <w:tr>
        <w:trPr/>
        <w:tc>
          <w:tcPr>
            <w:tcW w:w="2520" w:type="dxa"/>
            <w:tcBorders/>
          </w:tcPr>
          <w:p>
            <w:pPr>
              <w:pStyle w:val="Normal"/>
              <w:widowControl/>
              <w:bidi w:val="0"/>
              <w:spacing w:lineRule="auto" w:line="276" w:before="0" w:after="200"/>
              <w:jc w:val="left"/>
              <w:rPr/>
            </w:pPr>
            <w:r>
              <w:rPr/>
              <w:t>Sun Gold</w:t>
            </w:r>
          </w:p>
        </w:tc>
        <w:tc>
          <w:tcPr>
            <w:tcW w:w="2520" w:type="dxa"/>
            <w:tcBorders/>
          </w:tcPr>
          <w:p>
            <w:pPr>
              <w:pStyle w:val="Normal"/>
              <w:widowControl/>
              <w:bidi w:val="0"/>
              <w:spacing w:lineRule="auto" w:line="276" w:before="0" w:after="200"/>
              <w:jc w:val="left"/>
              <w:rPr/>
            </w:pPr>
            <w:r>
              <w:rPr/>
              <w:t>Golden Light</w:t>
            </w:r>
          </w:p>
        </w:tc>
        <w:tc>
          <w:tcPr>
            <w:tcW w:w="2520" w:type="dxa"/>
            <w:tcBorders/>
          </w:tcPr>
          <w:p>
            <w:pPr>
              <w:pStyle w:val="Normal"/>
              <w:widowControl/>
              <w:bidi w:val="0"/>
              <w:spacing w:lineRule="auto" w:line="276" w:before="0" w:after="200"/>
              <w:jc w:val="left"/>
              <w:rPr/>
            </w:pPr>
            <w:r>
              <w:rPr/>
              <w:t>#F2B63D</w:t>
            </w:r>
          </w:p>
        </w:tc>
        <w:tc>
          <w:tcPr>
            <w:tcW w:w="2519" w:type="dxa"/>
            <w:tcBorders/>
          </w:tcPr>
          <w:p>
            <w:pPr>
              <w:pStyle w:val="Normal"/>
              <w:widowControl/>
              <w:bidi w:val="0"/>
              <w:spacing w:lineRule="auto" w:line="276" w:before="0" w:after="200"/>
              <w:jc w:val="left"/>
              <w:rPr/>
            </w:pPr>
            <w:r>
              <w:rPr/>
              <w:t>Secondary highlights</w:t>
            </w:r>
          </w:p>
        </w:tc>
      </w:tr>
      <w:tr>
        <w:trPr/>
        <w:tc>
          <w:tcPr>
            <w:tcW w:w="2520" w:type="dxa"/>
            <w:tcBorders/>
          </w:tcPr>
          <w:p>
            <w:pPr>
              <w:pStyle w:val="Normal"/>
              <w:widowControl/>
              <w:bidi w:val="0"/>
              <w:spacing w:lineRule="auto" w:line="276" w:before="0" w:after="200"/>
              <w:jc w:val="left"/>
              <w:rPr/>
            </w:pPr>
            <w:r>
              <w:rPr/>
              <w:t>Natural Green</w:t>
            </w:r>
          </w:p>
        </w:tc>
        <w:tc>
          <w:tcPr>
            <w:tcW w:w="2520" w:type="dxa"/>
            <w:tcBorders/>
          </w:tcPr>
          <w:p>
            <w:pPr>
              <w:pStyle w:val="Normal"/>
              <w:widowControl/>
              <w:bidi w:val="0"/>
              <w:spacing w:lineRule="auto" w:line="276" w:before="0" w:after="200"/>
              <w:jc w:val="left"/>
              <w:rPr/>
            </w:pPr>
            <w:r>
              <w:rPr/>
              <w:t>Olive Fresh Green</w:t>
            </w:r>
          </w:p>
        </w:tc>
        <w:tc>
          <w:tcPr>
            <w:tcW w:w="2520" w:type="dxa"/>
            <w:tcBorders/>
          </w:tcPr>
          <w:p>
            <w:pPr>
              <w:pStyle w:val="Normal"/>
              <w:widowControl/>
              <w:bidi w:val="0"/>
              <w:spacing w:lineRule="auto" w:line="276" w:before="0" w:after="200"/>
              <w:jc w:val="left"/>
              <w:rPr/>
            </w:pPr>
            <w:r>
              <w:rPr/>
              <w:t>#8AA83B</w:t>
            </w:r>
          </w:p>
        </w:tc>
        <w:tc>
          <w:tcPr>
            <w:tcW w:w="2519" w:type="dxa"/>
            <w:tcBorders/>
          </w:tcPr>
          <w:p>
            <w:pPr>
              <w:pStyle w:val="Normal"/>
              <w:widowControl/>
              <w:bidi w:val="0"/>
              <w:spacing w:lineRule="auto" w:line="276" w:before="0" w:after="200"/>
              <w:jc w:val="left"/>
              <w:rPr/>
            </w:pPr>
            <w:r>
              <w:rPr/>
              <w:t>Growth and wellness</w:t>
            </w:r>
          </w:p>
        </w:tc>
      </w:tr>
      <w:tr>
        <w:trPr/>
        <w:tc>
          <w:tcPr>
            <w:tcW w:w="2520" w:type="dxa"/>
            <w:tcBorders/>
          </w:tcPr>
          <w:p>
            <w:pPr>
              <w:pStyle w:val="Normal"/>
              <w:widowControl/>
              <w:bidi w:val="0"/>
              <w:spacing w:lineRule="auto" w:line="276" w:before="0" w:after="200"/>
              <w:jc w:val="left"/>
              <w:rPr/>
            </w:pPr>
            <w:r>
              <w:rPr/>
              <w:t>Light Green</w:t>
            </w:r>
          </w:p>
        </w:tc>
        <w:tc>
          <w:tcPr>
            <w:tcW w:w="2520" w:type="dxa"/>
            <w:tcBorders/>
          </w:tcPr>
          <w:p>
            <w:pPr>
              <w:pStyle w:val="Normal"/>
              <w:widowControl/>
              <w:bidi w:val="0"/>
              <w:spacing w:lineRule="auto" w:line="276" w:before="0" w:after="200"/>
              <w:jc w:val="left"/>
              <w:rPr/>
            </w:pPr>
            <w:r>
              <w:rPr/>
              <w:t>Soft Leaf Green</w:t>
            </w:r>
          </w:p>
        </w:tc>
        <w:tc>
          <w:tcPr>
            <w:tcW w:w="2520" w:type="dxa"/>
            <w:tcBorders/>
          </w:tcPr>
          <w:p>
            <w:pPr>
              <w:pStyle w:val="Normal"/>
              <w:widowControl/>
              <w:bidi w:val="0"/>
              <w:spacing w:lineRule="auto" w:line="276" w:before="0" w:after="200"/>
              <w:jc w:val="left"/>
              <w:rPr/>
            </w:pPr>
            <w:r>
              <w:rPr/>
              <w:t>#B8C86A</w:t>
            </w:r>
          </w:p>
        </w:tc>
        <w:tc>
          <w:tcPr>
            <w:tcW w:w="2519" w:type="dxa"/>
            <w:tcBorders/>
          </w:tcPr>
          <w:p>
            <w:pPr>
              <w:pStyle w:val="Normal"/>
              <w:widowControl/>
              <w:bidi w:val="0"/>
              <w:spacing w:lineRule="auto" w:line="276" w:before="0" w:after="200"/>
              <w:jc w:val="left"/>
              <w:rPr/>
            </w:pPr>
            <w:r>
              <w:rPr/>
              <w:t>Secondary backgrounds/accent</w:t>
            </w:r>
          </w:p>
        </w:tc>
      </w:tr>
      <w:tr>
        <w:trPr/>
        <w:tc>
          <w:tcPr>
            <w:tcW w:w="2520" w:type="dxa"/>
            <w:tcBorders/>
          </w:tcPr>
          <w:p>
            <w:pPr>
              <w:pStyle w:val="Normal"/>
              <w:widowControl/>
              <w:bidi w:val="0"/>
              <w:spacing w:lineRule="auto" w:line="276" w:before="0" w:after="200"/>
              <w:jc w:val="left"/>
              <w:rPr/>
            </w:pPr>
            <w:r>
              <w:rPr/>
              <w:t>Star Red</w:t>
            </w:r>
          </w:p>
        </w:tc>
        <w:tc>
          <w:tcPr>
            <w:tcW w:w="2520" w:type="dxa"/>
            <w:tcBorders/>
          </w:tcPr>
          <w:p>
            <w:pPr>
              <w:pStyle w:val="Normal"/>
              <w:widowControl/>
              <w:bidi w:val="0"/>
              <w:spacing w:lineRule="auto" w:line="276" w:before="0" w:after="200"/>
              <w:jc w:val="left"/>
              <w:rPr/>
            </w:pPr>
            <w:r>
              <w:rPr/>
              <w:t>Clean Signal Red</w:t>
            </w:r>
          </w:p>
        </w:tc>
        <w:tc>
          <w:tcPr>
            <w:tcW w:w="2520" w:type="dxa"/>
            <w:tcBorders/>
          </w:tcPr>
          <w:p>
            <w:pPr>
              <w:pStyle w:val="Normal"/>
              <w:widowControl/>
              <w:bidi w:val="0"/>
              <w:spacing w:lineRule="auto" w:line="276" w:before="0" w:after="200"/>
              <w:jc w:val="left"/>
              <w:rPr/>
            </w:pPr>
            <w:r>
              <w:rPr/>
              <w:t>#D71920</w:t>
            </w:r>
          </w:p>
        </w:tc>
        <w:tc>
          <w:tcPr>
            <w:tcW w:w="2519" w:type="dxa"/>
            <w:tcBorders/>
          </w:tcPr>
          <w:p>
            <w:pPr>
              <w:pStyle w:val="Normal"/>
              <w:widowControl/>
              <w:bidi w:val="0"/>
              <w:spacing w:lineRule="auto" w:line="276" w:before="0" w:after="200"/>
              <w:jc w:val="left"/>
              <w:rPr/>
            </w:pPr>
            <w:r>
              <w:rPr/>
              <w:t>Star and rare emphasis</w:t>
            </w:r>
          </w:p>
        </w:tc>
      </w:tr>
    </w:tbl>
    <w:p>
      <w:pPr>
        <w:pStyle w:val="Heading1"/>
        <w:rPr/>
      </w:pPr>
      <w:r>
        <w:rPr/>
        <w:t>5. Typography</w:t>
      </w:r>
    </w:p>
    <w:p>
      <w:pPr>
        <w:pStyle w:val="Normal"/>
        <w:rPr/>
      </w:pPr>
      <w:r>
        <w:rPr/>
        <w:t>Recommended: Montserrat, Poppins, or another clean geometric sans-serif. Use Semibold/Bold for headings and Regular/Medium for body copy. Avoid script, ornamental or overly clinical typography. The icon remains the primary logo; a wordmark can be added separately.</w:t>
      </w:r>
    </w:p>
    <w:p>
      <w:pPr>
        <w:pStyle w:val="Heading1"/>
        <w:rPr/>
      </w:pPr>
      <w:r>
        <w:rPr/>
        <w:t>6. Brand Personality</w:t>
      </w:r>
    </w:p>
    <w:p>
      <w:pPr>
        <w:pStyle w:val="ListBullet"/>
        <w:numPr>
          <w:ilvl w:val="0"/>
          <w:numId w:val="1"/>
        </w:numPr>
        <w:rPr/>
      </w:pPr>
      <w:r>
        <w:rPr/>
        <w:t>Clear</w:t>
      </w:r>
    </w:p>
    <w:p>
      <w:pPr>
        <w:pStyle w:val="ListBullet"/>
        <w:numPr>
          <w:ilvl w:val="0"/>
          <w:numId w:val="1"/>
        </w:numPr>
        <w:rPr/>
      </w:pPr>
      <w:r>
        <w:rPr/>
        <w:t>Evidence-aware</w:t>
      </w:r>
    </w:p>
    <w:p>
      <w:pPr>
        <w:pStyle w:val="ListBullet"/>
        <w:numPr>
          <w:ilvl w:val="0"/>
          <w:numId w:val="1"/>
        </w:numPr>
        <w:rPr/>
      </w:pPr>
      <w:r>
        <w:rPr/>
        <w:t>Warm</w:t>
      </w:r>
    </w:p>
    <w:p>
      <w:pPr>
        <w:pStyle w:val="ListBullet"/>
        <w:numPr>
          <w:ilvl w:val="0"/>
          <w:numId w:val="1"/>
        </w:numPr>
        <w:rPr/>
      </w:pPr>
      <w:r>
        <w:rPr/>
        <w:t>Modern</w:t>
      </w:r>
    </w:p>
    <w:p>
      <w:pPr>
        <w:pStyle w:val="ListBullet"/>
        <w:numPr>
          <w:ilvl w:val="0"/>
          <w:numId w:val="1"/>
        </w:numPr>
        <w:rPr/>
      </w:pPr>
      <w:r>
        <w:rPr/>
        <w:t>Practical</w:t>
      </w:r>
    </w:p>
    <w:p>
      <w:pPr>
        <w:pStyle w:val="ListBullet"/>
        <w:numPr>
          <w:ilvl w:val="0"/>
          <w:numId w:val="1"/>
        </w:numPr>
        <w:rPr/>
      </w:pPr>
      <w:r>
        <w:rPr/>
        <w:t>Trustworthy</w:t>
      </w:r>
    </w:p>
    <w:p>
      <w:pPr>
        <w:pStyle w:val="Heading1"/>
        <w:rPr/>
      </w:pPr>
      <w:r>
        <w:rPr/>
        <w:t>7. Verbal Identity</w:t>
      </w:r>
    </w:p>
    <w:p>
      <w:pPr>
        <w:pStyle w:val="Heading2"/>
        <w:rPr/>
      </w:pPr>
      <w:r>
        <w:rPr/>
        <w:t>Primary line</w:t>
      </w:r>
    </w:p>
    <w:p>
      <w:pPr>
        <w:pStyle w:val="Normal"/>
        <w:rPr/>
      </w:pPr>
      <w:r>
        <w:rPr/>
        <w:t>From genetic information to clearer wellness decisions.</w:t>
      </w:r>
    </w:p>
    <w:p>
      <w:pPr>
        <w:pStyle w:val="Heading2"/>
        <w:rPr/>
      </w:pPr>
      <w:r>
        <w:rPr/>
        <w:t>Supporting lines</w:t>
      </w:r>
    </w:p>
    <w:p>
      <w:pPr>
        <w:pStyle w:val="ListBullet"/>
        <w:numPr>
          <w:ilvl w:val="0"/>
          <w:numId w:val="1"/>
        </w:numPr>
        <w:rPr/>
      </w:pPr>
      <w:r>
        <w:rPr/>
        <w:t>Understand your biology. Personalize your wellness.</w:t>
      </w:r>
    </w:p>
    <w:p>
      <w:pPr>
        <w:pStyle w:val="ListBullet"/>
        <w:numPr>
          <w:ilvl w:val="0"/>
          <w:numId w:val="1"/>
        </w:numPr>
        <w:rPr/>
      </w:pPr>
      <w:r>
        <w:rPr/>
        <w:t>Your report is data. We help make sense of it.</w:t>
      </w:r>
    </w:p>
    <w:p>
      <w:pPr>
        <w:pStyle w:val="ListBullet"/>
        <w:numPr>
          <w:ilvl w:val="0"/>
          <w:numId w:val="1"/>
        </w:numPr>
        <w:rPr/>
      </w:pPr>
      <w:r>
        <w:rPr/>
        <w:t>Decode the report. Discover your priorities.</w:t>
      </w:r>
    </w:p>
    <w:p>
      <w:pPr>
        <w:pStyle w:val="ListBullet"/>
        <w:numPr>
          <w:ilvl w:val="0"/>
          <w:numId w:val="1"/>
        </w:numPr>
        <w:rPr/>
      </w:pPr>
      <w:r>
        <w:rPr/>
        <w:t>Personal wellness, informed by your genetics.</w:t>
      </w:r>
    </w:p>
    <w:p>
      <w:pPr>
        <w:pStyle w:val="Heading1"/>
        <w:rPr/>
      </w:pPr>
      <w:r>
        <w:rPr/>
        <w:t>8. Consultation Experience</w:t>
      </w:r>
    </w:p>
    <w:p>
      <w:pPr>
        <w:pStyle w:val="Normal"/>
        <w:rPr/>
      </w:pPr>
      <w:r>
        <w:rPr>
          <w:b/>
          <w:color w:val="D99A16"/>
        </w:rPr>
        <w:t xml:space="preserve">01 — Discover  </w:t>
      </w:r>
      <w:r>
        <w:rPr/>
        <w:t>Understand goals, lifestyle and concerns.</w:t>
      </w:r>
    </w:p>
    <w:p>
      <w:pPr>
        <w:pStyle w:val="Normal"/>
        <w:rPr/>
      </w:pPr>
      <w:r>
        <w:rPr>
          <w:b/>
          <w:color w:val="D99A16"/>
        </w:rPr>
        <w:t xml:space="preserve">02 — Interpret  </w:t>
      </w:r>
      <w:r>
        <w:rPr/>
        <w:t>Explain the supplied genetic report in plain language.</w:t>
      </w:r>
    </w:p>
    <w:p>
      <w:pPr>
        <w:pStyle w:val="Normal"/>
        <w:rPr/>
      </w:pPr>
      <w:r>
        <w:rPr>
          <w:b/>
          <w:color w:val="D99A16"/>
        </w:rPr>
        <w:t xml:space="preserve">03 — Prioritize  </w:t>
      </w:r>
      <w:r>
        <w:rPr/>
        <w:t>Identify meaningful, actionable findings.</w:t>
      </w:r>
    </w:p>
    <w:p>
      <w:pPr>
        <w:pStyle w:val="Normal"/>
        <w:rPr/>
      </w:pPr>
      <w:r>
        <w:rPr>
          <w:b/>
          <w:color w:val="D99A16"/>
        </w:rPr>
        <w:t xml:space="preserve">04 — Personalize  </w:t>
      </w:r>
      <w:r>
        <w:rPr/>
        <w:t>Connect relevant findings with nutrition, lifestyle and behaviour.</w:t>
      </w:r>
    </w:p>
    <w:p>
      <w:pPr>
        <w:pStyle w:val="Normal"/>
        <w:rPr/>
      </w:pPr>
      <w:r>
        <w:rPr>
          <w:b/>
          <w:color w:val="D99A16"/>
        </w:rPr>
        <w:t xml:space="preserve">05 — Act  </w:t>
      </w:r>
      <w:r>
        <w:rPr/>
        <w:t>Create a practical action plan.</w:t>
      </w:r>
    </w:p>
    <w:p>
      <w:pPr>
        <w:pStyle w:val="Normal"/>
        <w:rPr/>
      </w:pPr>
      <w:r>
        <w:rPr>
          <w:b/>
          <w:color w:val="D99A16"/>
        </w:rPr>
        <w:t xml:space="preserve">06 — Follow through  </w:t>
      </w:r>
      <w:r>
        <w:rPr/>
        <w:t>Review progress and refine the plan when appropriate.</w:t>
      </w:r>
    </w:p>
    <w:p>
      <w:pPr>
        <w:pStyle w:val="Heading1"/>
        <w:rPr/>
      </w:pPr>
      <w:r>
        <w:rPr/>
        <w:t>9. Trust &amp; Scope</w:t>
      </w:r>
    </w:p>
    <w:p>
      <w:pPr>
        <w:pStyle w:val="Normal"/>
        <w:rPr/>
      </w:pPr>
      <w:r>
        <w:rPr/>
        <w:t>GenoLoom should present itself as genomic wellness education and consulting. Genetic findings should be communicated as tendencies or associations where appropriate—not guaranteed outcomes. The service should not claim to diagnose, cure or treat disease; medical concerns should be referred to qualified healthcare professionals.</w:t>
      </w:r>
    </w:p>
    <w:p>
      <w:pPr>
        <w:pStyle w:val="Heading1"/>
        <w:rPr/>
      </w:pPr>
      <w:r>
        <w:rPr/>
        <w:t>10. Brand Applications</w:t>
      </w:r>
    </w:p>
    <w:p>
      <w:pPr>
        <w:pStyle w:val="ListBullet"/>
        <w:numPr>
          <w:ilvl w:val="0"/>
          <w:numId w:val="1"/>
        </w:numPr>
        <w:rPr/>
      </w:pPr>
      <w:r>
        <w:rPr/>
        <w:t>Instagram/WhatsApp educational cards</w:t>
      </w:r>
    </w:p>
    <w:p>
      <w:pPr>
        <w:pStyle w:val="ListBullet"/>
        <w:numPr>
          <w:ilvl w:val="0"/>
          <w:numId w:val="1"/>
        </w:numPr>
        <w:rPr/>
      </w:pPr>
      <w:r>
        <w:rPr/>
        <w:t>Consultation decks and client worksheets</w:t>
      </w:r>
    </w:p>
    <w:p>
      <w:pPr>
        <w:pStyle w:val="ListBullet"/>
        <w:numPr>
          <w:ilvl w:val="0"/>
          <w:numId w:val="1"/>
        </w:numPr>
        <w:rPr/>
      </w:pPr>
      <w:r>
        <w:rPr/>
        <w:t>Lead-generation landing page</w:t>
      </w:r>
    </w:p>
    <w:p>
      <w:pPr>
        <w:pStyle w:val="ListBullet"/>
        <w:numPr>
          <w:ilvl w:val="0"/>
          <w:numId w:val="1"/>
        </w:numPr>
        <w:rPr/>
      </w:pPr>
      <w:r>
        <w:rPr/>
        <w:t>Business card and digital signature</w:t>
      </w:r>
    </w:p>
    <w:p>
      <w:pPr>
        <w:pStyle w:val="ListBullet"/>
        <w:numPr>
          <w:ilvl w:val="0"/>
          <w:numId w:val="1"/>
        </w:numPr>
        <w:rPr/>
      </w:pPr>
      <w:r>
        <w:rPr/>
        <w:t>Client action plans</w:t>
      </w:r>
    </w:p>
    <w:p>
      <w:pPr>
        <w:pStyle w:val="ListBullet"/>
        <w:numPr>
          <w:ilvl w:val="0"/>
          <w:numId w:val="1"/>
        </w:numPr>
        <w:rPr/>
      </w:pPr>
      <w:r>
        <w:rPr/>
        <w:t>Webinar/seminar materials</w:t>
      </w:r>
    </w:p>
    <w:p>
      <w:pPr>
        <w:pStyle w:val="ListBullet"/>
        <w:numPr>
          <w:ilvl w:val="0"/>
          <w:numId w:val="1"/>
        </w:numPr>
        <w:rPr/>
      </w:pPr>
      <w:r>
        <w:rPr/>
        <w:t>Short educational videos</w:t>
      </w:r>
    </w:p>
    <w:p>
      <w:pPr>
        <w:pStyle w:val="Heading1"/>
        <w:rPr/>
      </w:pPr>
      <w:r>
        <w:rPr/>
        <w:t>11. Visual Direction</w:t>
      </w:r>
    </w:p>
    <w:p>
      <w:pPr>
        <w:pStyle w:val="Normal"/>
        <w:rPr/>
      </w:pPr>
      <w:r>
        <w:rPr/>
        <w:t>Use warm natural light, real people, clean backgrounds, subtle botanical elements and uncluttered layouts. Avoid fear-based medical imagery, generic DNA stock graphics and overly clinical blue healthcare aesthetics.</w:t>
      </w:r>
    </w:p>
    <w:p>
      <w:pPr>
        <w:pStyle w:val="Heading1"/>
        <w:rPr/>
      </w:pPr>
      <w:r>
        <w:rPr/>
        <w:t>12. Brand Essence</w:t>
      </w:r>
    </w:p>
    <w:p>
      <w:pPr>
        <w:pStyle w:val="Normal"/>
        <w:widowControl/>
        <w:bidi w:val="0"/>
        <w:spacing w:lineRule="auto" w:line="276" w:before="0" w:after="200"/>
        <w:jc w:val="left"/>
        <w:rPr/>
      </w:pPr>
      <w:r>
        <w:rPr>
          <w:b/>
          <w:color w:val="D99A16"/>
        </w:rPr>
        <w:t xml:space="preserve">GenoLoom = </w:t>
      </w:r>
      <w:r>
        <w:rPr/>
        <w:t>a guide that helps people climb from complex genetic information toward clearer, more personalized wellness decisions.</w:t>
      </w:r>
    </w:p>
    <w:sectPr>
      <w:footerReference w:type="even" r:id="rId3"/>
      <w:footerReference w:type="default" r:id="rId4"/>
      <w:footerReference w:type="first" r:id="rId5"/>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GenoLoom • Brand Identity • Confidential working document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GenoLoom • Brand Identity • Confidential working document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b w:val="false"/>
      <w:color w:val="263238"/>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324D"/>
      <w:sz w:val="4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D99A1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24D"/>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588</Words>
  <Characters>3524</Characters>
  <CharactersWithSpaces>4006</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2026-08-14T22:36:44Z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