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71800" cy="2971800"/>
            <wp:docPr id="1" name="Picture 1"/>
            <wp:cNvGraphicFramePr>
              <a:graphicFrameLocks noChangeAspect="1"/>
            </wp:cNvGraphicFramePr>
            <a:graphic>
              <a:graphicData uri="http://schemas.openxmlformats.org/drawingml/2006/picture">
                <pic:pic>
                  <pic:nvPicPr>
                    <pic:cNvPr id="0" name="1000119661.png"/>
                    <pic:cNvPicPr/>
                  </pic:nvPicPr>
                  <pic:blipFill>
                    <a:blip r:embed="rId10"/>
                    <a:stretch>
                      <a:fillRect/>
                    </a:stretch>
                  </pic:blipFill>
                  <pic:spPr>
                    <a:xfrm>
                      <a:off x="0" y="0"/>
                      <a:ext cx="2971800" cy="2971800"/>
                    </a:xfrm>
                    <a:prstGeom prst="rect"/>
                  </pic:spPr>
                </pic:pic>
              </a:graphicData>
            </a:graphic>
          </wp:inline>
        </w:drawing>
      </w:r>
    </w:p>
    <w:p>
      <w:pPr>
        <w:jc w:val="center"/>
      </w:pPr>
      <w:r>
        <w:rPr>
          <w:b/>
          <w:color w:val="17324D"/>
          <w:sz w:val="60"/>
        </w:rPr>
        <w:t>GENOTASTE</w:t>
      </w:r>
    </w:p>
    <w:p>
      <w:pPr>
        <w:jc w:val="center"/>
      </w:pPr>
      <w:r>
        <w:rPr>
          <w:b/>
          <w:color w:val="D99A16"/>
          <w:sz w:val="28"/>
        </w:rPr>
        <w:t>BRAND PROPOSITION</w:t>
      </w:r>
    </w:p>
    <w:p>
      <w:pPr>
        <w:jc w:val="center"/>
      </w:pPr>
      <w:r>
        <w:rPr>
          <w:b/>
          <w:color w:val="263238"/>
          <w:sz w:val="24"/>
        </w:rPr>
        <w:t>NATURE • NURTURE • KNOWLEDGE</w:t>
      </w:r>
    </w:p>
    <w:p>
      <w:r>
        <w:br w:type="page"/>
      </w:r>
    </w:p>
    <w:p>
      <w:pPr>
        <w:pStyle w:val="Heading1"/>
      </w:pPr>
      <w:r>
        <w:t>1. Brand Proposition in One Sentence</w:t>
      </w:r>
    </w:p>
    <w:p>
      <w:r>
        <w:t>GenoTaste helps people understand how their inherited biological tendencies interact with nutrition, lifestyle and everyday choices, then turns that understanding into practical, personalized wellness guidance.</w:t>
      </w:r>
    </w:p>
    <w:p>
      <w:pPr>
        <w:pStyle w:val="Heading1"/>
      </w:pPr>
      <w:r>
        <w:t>2. What GenoTaste Is</w:t>
      </w:r>
    </w:p>
    <w:p>
      <w:r>
        <w:t>GenoTaste is the client-facing genomic wellness consulting brand operated by an Associate Consultant within the Welocity Genetics ecosystem. The genetic testing and report are provided through the testing system; GenoTaste creates value by helping the client understand and use the information.</w:t>
      </w:r>
    </w:p>
    <w:p>
      <w:pPr>
        <w:pStyle w:val="Heading2"/>
      </w:pPr>
      <w:r>
        <w:t>The division of roles</w:t>
      </w:r>
    </w:p>
    <w:p>
      <w:pPr>
        <w:pStyle w:val="ListBullet"/>
      </w:pPr>
      <w:r>
        <w:t>Testing provider: sample processing, genetic analysis and generation of the genetic report.</w:t>
      </w:r>
    </w:p>
    <w:p>
      <w:pPr>
        <w:pStyle w:val="ListBullet"/>
      </w:pPr>
      <w:r>
        <w:t>GenoTaste: client acquisition, consultation, report interpretation, education, prioritization and wellness action planning.</w:t>
      </w:r>
    </w:p>
    <w:p>
      <w:pPr>
        <w:pStyle w:val="ListBullet"/>
      </w:pPr>
      <w:r>
        <w:t>Healthcare professional: diagnosis, treatment and management of medical conditions when clinically required.</w:t>
      </w:r>
    </w:p>
    <w:p>
      <w:pPr>
        <w:pStyle w:val="Heading1"/>
      </w:pPr>
      <w:r>
        <w:t>3. The Meaning of the Tagline</w:t>
      </w:r>
    </w:p>
    <w:p>
      <w:r>
        <w:rPr>
          <w:b/>
          <w:color w:val="D99A16"/>
          <w:sz w:val="30"/>
        </w:rPr>
        <w:t>NATURE • NURTURE • KNOWLEDGE</w:t>
      </w:r>
    </w:p>
    <w:p>
      <w:r>
        <w:t>Nature represents inherited biology and genetic tendencies. Nurture represents nutrition, lifestyle, environment and behaviour. Knowledge represents the understanding needed to make better-informed choices.</w:t>
      </w:r>
    </w:p>
    <w:p>
      <w:r>
        <w:t>This gives GenoTaste a broader and more human proposition than “genetic testing”: genetics is the starting information, while the client’s lived environment and informed choices are part of the story.</w:t>
      </w:r>
    </w:p>
    <w:p>
      <w:pPr>
        <w:pStyle w:val="Heading1"/>
      </w:pPr>
      <w:r>
        <w:t>4. Core Customer Problem</w:t>
      </w:r>
    </w:p>
    <w:p>
      <w:r>
        <w:t>A genetic report can contain a large amount of technical information and many risk/response indicators. A client may not know which findings matter most, what they mean in everyday language, what actions are reasonable, or which issues should be discussed with a healthcare professional.</w:t>
      </w:r>
    </w:p>
    <w:p>
      <w:pPr>
        <w:pStyle w:val="ListBullet"/>
      </w:pPr>
      <w:r>
        <w:t>Information overload</w:t>
      </w:r>
    </w:p>
    <w:p>
      <w:pPr>
        <w:pStyle w:val="ListBullet"/>
      </w:pPr>
      <w:r>
        <w:t>Difficulty understanding genetic terminology</w:t>
      </w:r>
    </w:p>
    <w:p>
      <w:pPr>
        <w:pStyle w:val="ListBullet"/>
      </w:pPr>
      <w:r>
        <w:t>Uncertainty about priorities</w:t>
      </w:r>
    </w:p>
    <w:p>
      <w:pPr>
        <w:pStyle w:val="ListBullet"/>
      </w:pPr>
      <w:r>
        <w:t>Difficulty translating findings into daily habits</w:t>
      </w:r>
    </w:p>
    <w:p>
      <w:pPr>
        <w:pStyle w:val="ListBullet"/>
      </w:pPr>
      <w:r>
        <w:t>Fear caused by seeing multiple “risk” indicators</w:t>
      </w:r>
    </w:p>
    <w:p>
      <w:pPr>
        <w:pStyle w:val="ListBullet"/>
      </w:pPr>
      <w:r>
        <w:t>Lack of continuity after receiving the report</w:t>
      </w:r>
    </w:p>
    <w:p>
      <w:pPr>
        <w:pStyle w:val="Heading1"/>
      </w:pPr>
      <w:r>
        <w:t>5. GenoTaste's Value Proposition</w:t>
      </w:r>
    </w:p>
    <w:p>
      <w:r>
        <w:t>We do not sell a report as the finished product. We sell understanding and guided action around the report.</w:t>
      </w:r>
    </w:p>
    <w:p>
      <w:pPr>
        <w:pStyle w:val="ListBullet"/>
      </w:pPr>
      <w:r>
        <w:t>Simplify — convert technical findings into understandable explanations.</w:t>
      </w:r>
    </w:p>
    <w:p>
      <w:pPr>
        <w:pStyle w:val="ListBullet"/>
      </w:pPr>
      <w:r>
        <w:t>Prioritize — identify the findings most relevant to the client’s stated goals.</w:t>
      </w:r>
    </w:p>
    <w:p>
      <w:pPr>
        <w:pStyle w:val="ListBullet"/>
      </w:pPr>
      <w:r>
        <w:t>Personalize — connect appropriate findings with nutrition, lifestyle and behaviour.</w:t>
      </w:r>
    </w:p>
    <w:p>
      <w:pPr>
        <w:pStyle w:val="ListBullet"/>
      </w:pPr>
      <w:r>
        <w:t>Guide — turn insights into practical, manageable next steps.</w:t>
      </w:r>
    </w:p>
    <w:p>
      <w:pPr>
        <w:pStyle w:val="ListBullet"/>
      </w:pPr>
      <w:r>
        <w:t>Educate — help clients understand the limits as well as the usefulness of genetic information.</w:t>
      </w:r>
    </w:p>
    <w:p>
      <w:pPr>
        <w:pStyle w:val="ListBullet"/>
      </w:pPr>
      <w:r>
        <w:t>Follow through — provide structured review where the chosen service includes follow-up.</w:t>
      </w:r>
    </w:p>
    <w:p>
      <w:pPr>
        <w:pStyle w:val="Heading1"/>
      </w:pPr>
      <w:r>
        <w:t>6. Target Customers</w:t>
      </w:r>
    </w:p>
    <w:p>
      <w:pPr>
        <w:pStyle w:val="Heading2"/>
      </w:pPr>
      <w:r>
        <w:t>Primary</w:t>
      </w:r>
    </w:p>
    <w:p>
      <w:pPr>
        <w:pStyle w:val="ListBullet"/>
      </w:pPr>
      <w:r>
        <w:t>Adults interested in personalized wellness and preventive lifestyle planning.</w:t>
      </w:r>
    </w:p>
    <w:p>
      <w:pPr>
        <w:pStyle w:val="ListBullet"/>
      </w:pPr>
      <w:r>
        <w:t>People who have received a genetic wellness report but do not know how to interpret it.</w:t>
      </w:r>
    </w:p>
    <w:p>
      <w:pPr>
        <w:pStyle w:val="ListBullet"/>
      </w:pPr>
      <w:r>
        <w:t>Health-conscious professionals who want a structured, personalized approach.</w:t>
      </w:r>
    </w:p>
    <w:p>
      <w:pPr>
        <w:pStyle w:val="ListBullet"/>
      </w:pPr>
      <w:r>
        <w:t>Parents interested in understanding selected wellness-related genetic tendencies for family planning and lifestyle education, where appropriate.</w:t>
      </w:r>
    </w:p>
    <w:p>
      <w:pPr>
        <w:pStyle w:val="Heading2"/>
      </w:pPr>
      <w:r>
        <w:t>Secondary</w:t>
      </w:r>
    </w:p>
    <w:p>
      <w:pPr>
        <w:pStyle w:val="ListBullet"/>
      </w:pPr>
      <w:r>
        <w:t>Nutrition and wellness audiences seeking personalized education.</w:t>
      </w:r>
    </w:p>
    <w:p>
      <w:pPr>
        <w:pStyle w:val="ListBullet"/>
      </w:pPr>
      <w:r>
        <w:t>Fitness-oriented individuals interested in genetic response and lifestyle personalization.</w:t>
      </w:r>
    </w:p>
    <w:p>
      <w:pPr>
        <w:pStyle w:val="ListBullet"/>
      </w:pPr>
      <w:r>
        <w:t>Existing Welocity Genetics clients who need consultation after receiving their report.</w:t>
      </w:r>
    </w:p>
    <w:p>
      <w:pPr>
        <w:pStyle w:val="Heading1"/>
      </w:pPr>
      <w:r>
        <w:t>7. Ideal Client</w:t>
      </w:r>
    </w:p>
    <w:p>
      <w:r>
        <w:t>The ideal GenoTaste client is curious, reasonably health-conscious and willing to act. They do not simply want a list of genetic results; they want help deciding what to understand, what to prioritize and what to do next.</w:t>
      </w:r>
    </w:p>
    <w:p>
      <w:pPr>
        <w:pStyle w:val="Heading1"/>
      </w:pPr>
      <w:r>
        <w:t>8. The GenoTaste Consultation Model</w:t>
      </w:r>
    </w:p>
    <w:p>
      <w:r>
        <w:rPr>
          <w:b/>
          <w:color w:val="D99A16"/>
        </w:rPr>
        <w:t xml:space="preserve">01 — Know the person  </w:t>
      </w:r>
      <w:r>
        <w:t>Goals, lifestyle context, nutrition patterns, concerns and expectations.</w:t>
      </w:r>
    </w:p>
    <w:p>
      <w:r>
        <w:rPr>
          <w:b/>
          <w:color w:val="D99A16"/>
        </w:rPr>
        <w:t xml:space="preserve">02 — Read the report  </w:t>
      </w:r>
      <w:r>
        <w:t>Explain the relevant findings and the meaning of the report’s classifications.</w:t>
      </w:r>
    </w:p>
    <w:p>
      <w:r>
        <w:rPr>
          <w:b/>
          <w:color w:val="D99A16"/>
        </w:rPr>
        <w:t xml:space="preserve">03 — Find the priorities  </w:t>
      </w:r>
      <w:r>
        <w:t>Focus attention on actionable areas rather than overwhelming the client.</w:t>
      </w:r>
    </w:p>
    <w:p>
      <w:r>
        <w:rPr>
          <w:b/>
          <w:color w:val="D99A16"/>
        </w:rPr>
        <w:t xml:space="preserve">04 — Connect nature and nurture  </w:t>
      </w:r>
      <w:r>
        <w:t>Discuss how inherited tendencies relate to modifiable lifestyle factors.</w:t>
      </w:r>
    </w:p>
    <w:p>
      <w:r>
        <w:rPr>
          <w:b/>
          <w:color w:val="D99A16"/>
        </w:rPr>
        <w:t xml:space="preserve">05 — Build the plan  </w:t>
      </w:r>
      <w:r>
        <w:t>Translate suitable insights into practical nutrition and lifestyle actions.</w:t>
      </w:r>
    </w:p>
    <w:p>
      <w:r>
        <w:rPr>
          <w:b/>
          <w:color w:val="D99A16"/>
        </w:rPr>
        <w:t xml:space="preserve">06 — Review and refine  </w:t>
      </w:r>
      <w:r>
        <w:t>Where included, assess progress and adjust the wellness plan.</w:t>
      </w:r>
    </w:p>
    <w:p>
      <w:pPr>
        <w:pStyle w:val="Heading1"/>
      </w:pPr>
      <w:r>
        <w:t>9. Offer Architecture</w:t>
      </w:r>
    </w:p>
    <w:tbl>
      <w:tblPr>
        <w:tblW w:type="auto" w:w="0"/>
        <w:jc w:val="center"/>
        <w:tblLook w:firstColumn="1" w:firstRow="1" w:lastColumn="0" w:lastRow="0" w:noHBand="0" w:noVBand="1" w:val="04A0"/>
      </w:tblPr>
      <w:tblGrid>
        <w:gridCol w:w="3360"/>
        <w:gridCol w:w="3360"/>
        <w:gridCol w:w="3360"/>
      </w:tblGrid>
      <w:tr>
        <w:tc>
          <w:tcPr>
            <w:tcW w:type="dxa" w:w="3360"/>
            <w:shd w:fill="17324D"/>
          </w:tcPr>
          <w:p>
            <w:r>
              <w:rPr>
                <w:b/>
                <w:color w:val="FFFFFF"/>
              </w:rPr>
              <w:t>Offer</w:t>
            </w:r>
          </w:p>
        </w:tc>
        <w:tc>
          <w:tcPr>
            <w:tcW w:type="dxa" w:w="3360"/>
            <w:shd w:fill="17324D"/>
          </w:tcPr>
          <w:p>
            <w:r>
              <w:rPr>
                <w:b/>
                <w:color w:val="FFFFFF"/>
              </w:rPr>
              <w:t>Purpose</w:t>
            </w:r>
          </w:p>
        </w:tc>
        <w:tc>
          <w:tcPr>
            <w:tcW w:type="dxa" w:w="3360"/>
            <w:shd w:fill="17324D"/>
          </w:tcPr>
          <w:p>
            <w:r>
              <w:rPr>
                <w:b/>
                <w:color w:val="FFFFFF"/>
              </w:rPr>
              <w:t>Client outcome</w:t>
            </w:r>
          </w:p>
        </w:tc>
      </w:tr>
      <w:tr>
        <w:tc>
          <w:tcPr>
            <w:tcW w:type="dxa" w:w="3360"/>
          </w:tcPr>
          <w:p>
            <w:r>
              <w:t>GenoTaste Discovery</w:t>
            </w:r>
          </w:p>
        </w:tc>
        <w:tc>
          <w:tcPr>
            <w:tcW w:type="dxa" w:w="3360"/>
          </w:tcPr>
          <w:p>
            <w:r>
              <w:t>Initial conversation and goal setting</w:t>
            </w:r>
          </w:p>
        </w:tc>
        <w:tc>
          <w:tcPr>
            <w:tcW w:type="dxa" w:w="3360"/>
          </w:tcPr>
          <w:p>
            <w:r>
              <w:t>Clear understanding of whether consultation is suitable</w:t>
            </w:r>
          </w:p>
        </w:tc>
      </w:tr>
      <w:tr>
        <w:tc>
          <w:tcPr>
            <w:tcW w:type="dxa" w:w="3360"/>
          </w:tcPr>
          <w:p>
            <w:r>
              <w:t>GenoTaste Report Consultation</w:t>
            </w:r>
          </w:p>
        </w:tc>
        <w:tc>
          <w:tcPr>
            <w:tcW w:type="dxa" w:w="3360"/>
          </w:tcPr>
          <w:p>
            <w:r>
              <w:t>Guided interpretation of the supplied report</w:t>
            </w:r>
          </w:p>
        </w:tc>
        <w:tc>
          <w:tcPr>
            <w:tcW w:type="dxa" w:w="3360"/>
          </w:tcPr>
          <w:p>
            <w:r>
              <w:t>Prioritized understanding of key findings</w:t>
            </w:r>
          </w:p>
        </w:tc>
      </w:tr>
      <w:tr>
        <w:tc>
          <w:tcPr>
            <w:tcW w:type="dxa" w:w="3360"/>
          </w:tcPr>
          <w:p>
            <w:r>
              <w:t>GenoTaste Personal Plan</w:t>
            </w:r>
          </w:p>
        </w:tc>
        <w:tc>
          <w:tcPr>
            <w:tcW w:type="dxa" w:w="3360"/>
          </w:tcPr>
          <w:p>
            <w:r>
              <w:t>Personalized wellness action planning</w:t>
            </w:r>
          </w:p>
        </w:tc>
        <w:tc>
          <w:tcPr>
            <w:tcW w:type="dxa" w:w="3360"/>
          </w:tcPr>
          <w:p>
            <w:r>
              <w:t>Practical next-step plan</w:t>
            </w:r>
          </w:p>
        </w:tc>
      </w:tr>
      <w:tr>
        <w:tc>
          <w:tcPr>
            <w:tcW w:type="dxa" w:w="3360"/>
          </w:tcPr>
          <w:p>
            <w:r>
              <w:t>GenoTaste Follow-Up</w:t>
            </w:r>
          </w:p>
        </w:tc>
        <w:tc>
          <w:tcPr>
            <w:tcW w:type="dxa" w:w="3360"/>
          </w:tcPr>
          <w:p>
            <w:r>
              <w:t>Review and refinement</w:t>
            </w:r>
          </w:p>
        </w:tc>
        <w:tc>
          <w:tcPr>
            <w:tcW w:type="dxa" w:w="3360"/>
          </w:tcPr>
          <w:p>
            <w:r>
              <w:t>Accountability and adjustment</w:t>
            </w:r>
          </w:p>
        </w:tc>
      </w:tr>
    </w:tbl>
    <w:p>
      <w:pPr>
        <w:pStyle w:val="Heading1"/>
      </w:pPr>
      <w:r>
        <w:t>10. Sales Proposition</w:t>
      </w:r>
    </w:p>
    <w:p>
      <w:r>
        <w:t>The sales conversation should not focus on selling fear, disease prediction or the number of genes tested. It should focus on the value of understanding the report and receiving expert-style educational guidance from a trained genomic wellness consultant.</w:t>
      </w:r>
    </w:p>
    <w:p>
      <w:pPr>
        <w:pStyle w:val="Heading2"/>
      </w:pPr>
      <w:r>
        <w:t>Short pitch</w:t>
      </w:r>
    </w:p>
    <w:p>
      <w:r>
        <w:t>“You already have genetic information. GenoTaste helps you understand what it means in the context of your nutrition and lifestyle, identify the areas worth paying attention to, and turn the useful parts of your report into practical wellness steps.”</w:t>
      </w:r>
    </w:p>
    <w:p>
      <w:pPr>
        <w:pStyle w:val="Heading1"/>
      </w:pPr>
      <w:r>
        <w:t>11. Lead-to-Client Funnel</w:t>
      </w:r>
    </w:p>
    <w:p>
      <w:pPr>
        <w:pStyle w:val="ListNumber"/>
      </w:pPr>
      <w:r>
        <w:t>Awareness — educational content about personalized wellness, genetics and lifestyle.</w:t>
      </w:r>
    </w:p>
    <w:p>
      <w:pPr>
        <w:pStyle w:val="ListNumber"/>
      </w:pPr>
      <w:r>
        <w:t>Interest — simple explanations, examples and myth-busting content.</w:t>
      </w:r>
    </w:p>
    <w:p>
      <w:pPr>
        <w:pStyle w:val="ListNumber"/>
      </w:pPr>
      <w:r>
        <w:t>Lead — free discovery conversation, educational session or report-readiness assessment.</w:t>
      </w:r>
    </w:p>
    <w:p>
      <w:pPr>
        <w:pStyle w:val="ListNumber"/>
      </w:pPr>
      <w:r>
        <w:t>Qualification — goals, expectations, willingness to act and scope suitability.</w:t>
      </w:r>
    </w:p>
    <w:p>
      <w:pPr>
        <w:pStyle w:val="ListNumber"/>
      </w:pPr>
      <w:r>
        <w:t>Conversion — paid consultation/package.</w:t>
      </w:r>
    </w:p>
    <w:p>
      <w:pPr>
        <w:pStyle w:val="ListNumber"/>
      </w:pPr>
      <w:r>
        <w:t>Delivery — report interpretation and personalized wellness guidance.</w:t>
      </w:r>
    </w:p>
    <w:p>
      <w:pPr>
        <w:pStyle w:val="ListNumber"/>
      </w:pPr>
      <w:r>
        <w:t>Retention — follow-up, education and referral opportunities.</w:t>
      </w:r>
    </w:p>
    <w:p>
      <w:pPr>
        <w:pStyle w:val="Heading1"/>
      </w:pPr>
      <w:r>
        <w:t>12. Content Strategy</w:t>
      </w:r>
    </w:p>
    <w:p>
      <w:pPr>
        <w:pStyle w:val="ListBullet"/>
      </w:pPr>
      <w:r>
        <w:t>Nature: explain genetic tendencies in accessible language.</w:t>
      </w:r>
    </w:p>
    <w:p>
      <w:pPr>
        <w:pStyle w:val="ListBullet"/>
      </w:pPr>
      <w:r>
        <w:t>Nurture: show how nutrition, lifestyle and environment can influence modifiable wellness factors.</w:t>
      </w:r>
    </w:p>
    <w:p>
      <w:pPr>
        <w:pStyle w:val="ListBullet"/>
      </w:pPr>
      <w:r>
        <w:t>Knowledge: teach clients how to read genetic reports without panic or overinterpretation.</w:t>
      </w:r>
    </w:p>
    <w:p>
      <w:pPr>
        <w:pStyle w:val="ListBullet"/>
      </w:pPr>
      <w:r>
        <w:t>Case-style education: demonstrate how a finding can become a practical question or lifestyle priority.</w:t>
      </w:r>
    </w:p>
    <w:p>
      <w:pPr>
        <w:pStyle w:val="ListBullet"/>
      </w:pPr>
      <w:r>
        <w:t>Myth correction: challenge deterministic “your gene decides your fate” thinking.</w:t>
      </w:r>
    </w:p>
    <w:p>
      <w:pPr>
        <w:pStyle w:val="ListBullet"/>
      </w:pPr>
      <w:r>
        <w:t>Consultation education: show what happens before, during and after a GenoTaste consultation.</w:t>
      </w:r>
    </w:p>
    <w:p>
      <w:pPr>
        <w:pStyle w:val="Heading1"/>
      </w:pPr>
      <w:r>
        <w:t>13. Trust &amp; Ethical Boundaries</w:t>
      </w:r>
    </w:p>
    <w:p>
      <w:r>
        <w:t>GenoTaste should communicate genetic findings as tendencies, associations or response patterns where supported by the supplied report—not as certainties. The service is wellness education and consulting, not diagnosis or treatment. Medical symptoms, disease management, medication changes and clinical decisions should be directed to appropriately qualified healthcare professionals.</w:t>
      </w:r>
    </w:p>
    <w:p>
      <w:pPr>
        <w:pStyle w:val="ListBullet"/>
      </w:pPr>
      <w:r>
        <w:t>Never use fear as the main sales mechanism.</w:t>
      </w:r>
    </w:p>
    <w:p>
      <w:pPr>
        <w:pStyle w:val="ListBullet"/>
      </w:pPr>
      <w:r>
        <w:t>Never promise disease prevention or cure from a genetic report.</w:t>
      </w:r>
    </w:p>
    <w:p>
      <w:pPr>
        <w:pStyle w:val="ListBullet"/>
      </w:pPr>
      <w:r>
        <w:t>Never tell a client to stop or change prescribed medication based solely on the report.</w:t>
      </w:r>
    </w:p>
    <w:p>
      <w:pPr>
        <w:pStyle w:val="ListBullet"/>
      </w:pPr>
      <w:r>
        <w:t>Never imply that a genetic result guarantees a future health outcome.</w:t>
      </w:r>
    </w:p>
    <w:p>
      <w:pPr>
        <w:pStyle w:val="ListBullet"/>
      </w:pPr>
      <w:r>
        <w:t>Be transparent about what the test/report does and does not establish.</w:t>
      </w:r>
    </w:p>
    <w:p>
      <w:pPr>
        <w:pStyle w:val="Heading1"/>
      </w:pPr>
      <w:r>
        <w:t>14. Competitive Positioning</w:t>
      </w:r>
    </w:p>
    <w:p>
      <w:r>
        <w:t>GenoTaste should occupy the space between a raw genetic report and generic wellness advice.</w:t>
      </w:r>
    </w:p>
    <w:p>
      <w:pPr>
        <w:pStyle w:val="ListBullet"/>
      </w:pPr>
      <w:r>
        <w:t>Not merely a DNA test seller.</w:t>
      </w:r>
    </w:p>
    <w:p>
      <w:pPr>
        <w:pStyle w:val="ListBullet"/>
      </w:pPr>
      <w:r>
        <w:t>Not a generic diet-plan service.</w:t>
      </w:r>
    </w:p>
    <w:p>
      <w:pPr>
        <w:pStyle w:val="ListBullet"/>
      </w:pPr>
      <w:r>
        <w:t>Not a medical diagnosis platform.</w:t>
      </w:r>
    </w:p>
    <w:p>
      <w:pPr>
        <w:pStyle w:val="ListBullet"/>
      </w:pPr>
      <w:r>
        <w:t>A human-guided genomic wellness interpretation and action service.</w:t>
      </w:r>
    </w:p>
    <w:p>
      <w:pPr>
        <w:pStyle w:val="Heading1"/>
      </w:pPr>
      <w:r>
        <w:t>15. Brand Promise</w:t>
      </w:r>
    </w:p>
    <w:p>
      <w:r>
        <w:rPr>
          <w:b/>
          <w:color w:val="D99A16"/>
          <w:sz w:val="32"/>
        </w:rPr>
        <w:t>NATURE. NURTURE. KNOWLEDGE.</w:t>
      </w:r>
    </w:p>
    <w:p>
      <w:r>
        <w:t>GenoTaste connects what you inherit with how you live and what you learn—so genetic information can become clearer, more personal and more useful for everyday wellness decisions.</w:t>
      </w:r>
    </w:p>
    <w:p>
      <w:pPr>
        <w:pStyle w:val="Heading1"/>
      </w:pPr>
      <w:r>
        <w:t>16. One-Page Strategic Summary</w:t>
      </w:r>
    </w:p>
    <w:tbl>
      <w:tblPr>
        <w:tblW w:type="auto" w:w="0"/>
        <w:jc w:val="center"/>
        <w:tblLook w:firstColumn="1" w:firstRow="1" w:lastColumn="0" w:lastRow="0" w:noHBand="0" w:noVBand="1" w:val="04A0"/>
      </w:tblPr>
      <w:tblGrid>
        <w:gridCol w:w="5040"/>
        <w:gridCol w:w="5040"/>
      </w:tblGrid>
      <w:tr>
        <w:tc>
          <w:tcPr>
            <w:tcW w:type="dxa" w:w="5040"/>
          </w:tcPr>
          <w:p>
            <w:r>
              <w:rPr>
                <w:b/>
                <w:color w:val="D99A16"/>
              </w:rPr>
              <w:t>Brand</w:t>
            </w:r>
          </w:p>
        </w:tc>
        <w:tc>
          <w:tcPr>
            <w:tcW w:type="dxa" w:w="5040"/>
          </w:tcPr>
          <w:p>
            <w:r>
              <w:t>GenoTaste</w:t>
            </w:r>
          </w:p>
        </w:tc>
      </w:tr>
      <w:tr>
        <w:tc>
          <w:tcPr>
            <w:tcW w:type="dxa" w:w="5040"/>
          </w:tcPr>
          <w:p>
            <w:r>
              <w:rPr>
                <w:b/>
                <w:color w:val="D99A16"/>
              </w:rPr>
              <w:t>Tagline</w:t>
            </w:r>
          </w:p>
        </w:tc>
        <w:tc>
          <w:tcPr>
            <w:tcW w:type="dxa" w:w="5040"/>
          </w:tcPr>
          <w:p>
            <w:r>
              <w:t>Nature • Nurture • Knowledge</w:t>
            </w:r>
          </w:p>
        </w:tc>
      </w:tr>
      <w:tr>
        <w:tc>
          <w:tcPr>
            <w:tcW w:type="dxa" w:w="5040"/>
          </w:tcPr>
          <w:p>
            <w:r>
              <w:rPr>
                <w:b/>
                <w:color w:val="D99A16"/>
              </w:rPr>
              <w:t>Category</w:t>
            </w:r>
          </w:p>
        </w:tc>
        <w:tc>
          <w:tcPr>
            <w:tcW w:type="dxa" w:w="5040"/>
          </w:tcPr>
          <w:p>
            <w:r>
              <w:t>Genomic Wellness Consulting</w:t>
            </w:r>
          </w:p>
        </w:tc>
      </w:tr>
      <w:tr>
        <w:tc>
          <w:tcPr>
            <w:tcW w:type="dxa" w:w="5040"/>
          </w:tcPr>
          <w:p>
            <w:r>
              <w:rPr>
                <w:b/>
                <w:color w:val="D99A16"/>
              </w:rPr>
              <w:t>Primary customer</w:t>
            </w:r>
          </w:p>
        </w:tc>
        <w:tc>
          <w:tcPr>
            <w:tcW w:type="dxa" w:w="5040"/>
          </w:tcPr>
          <w:p>
            <w:r>
              <w:t>People seeking personalized wellness guidance around genetic information</w:t>
            </w:r>
          </w:p>
        </w:tc>
      </w:tr>
      <w:tr>
        <w:tc>
          <w:tcPr>
            <w:tcW w:type="dxa" w:w="5040"/>
          </w:tcPr>
          <w:p>
            <w:r>
              <w:rPr>
                <w:b/>
                <w:color w:val="D99A16"/>
              </w:rPr>
              <w:t>Core problem</w:t>
            </w:r>
          </w:p>
        </w:tc>
        <w:tc>
          <w:tcPr>
            <w:tcW w:type="dxa" w:w="5040"/>
          </w:tcPr>
          <w:p>
            <w:r>
              <w:t>Complex reports are difficult to interpret and prioritize</w:t>
            </w:r>
          </w:p>
        </w:tc>
      </w:tr>
      <w:tr>
        <w:tc>
          <w:tcPr>
            <w:tcW w:type="dxa" w:w="5040"/>
          </w:tcPr>
          <w:p>
            <w:r>
              <w:rPr>
                <w:b/>
                <w:color w:val="D99A16"/>
              </w:rPr>
              <w:t>Core value</w:t>
            </w:r>
          </w:p>
        </w:tc>
        <w:tc>
          <w:tcPr>
            <w:tcW w:type="dxa" w:w="5040"/>
          </w:tcPr>
          <w:p>
            <w:r>
              <w:t>Human-guided interpretation + personalization + practical action</w:t>
            </w:r>
          </w:p>
        </w:tc>
      </w:tr>
      <w:tr>
        <w:tc>
          <w:tcPr>
            <w:tcW w:type="dxa" w:w="5040"/>
          </w:tcPr>
          <w:p>
            <w:r>
              <w:rPr>
                <w:b/>
                <w:color w:val="D99A16"/>
              </w:rPr>
              <w:t>Testing role</w:t>
            </w:r>
          </w:p>
        </w:tc>
        <w:tc>
          <w:tcPr>
            <w:tcW w:type="dxa" w:w="5040"/>
          </w:tcPr>
          <w:p>
            <w:r>
              <w:t>Testing/report supplied through associated testing ecosystem</w:t>
            </w:r>
          </w:p>
        </w:tc>
      </w:tr>
      <w:tr>
        <w:tc>
          <w:tcPr>
            <w:tcW w:type="dxa" w:w="5040"/>
          </w:tcPr>
          <w:p>
            <w:r>
              <w:rPr>
                <w:b/>
                <w:color w:val="D99A16"/>
              </w:rPr>
              <w:t>GenoTaste role</w:t>
            </w:r>
          </w:p>
        </w:tc>
        <w:tc>
          <w:tcPr>
            <w:tcW w:type="dxa" w:w="5040"/>
          </w:tcPr>
          <w:p>
            <w:r>
              <w:t>Sell, consult, educate, prioritize and guide</w:t>
            </w:r>
          </w:p>
        </w:tc>
      </w:tr>
      <w:tr>
        <w:tc>
          <w:tcPr>
            <w:tcW w:type="dxa" w:w="5040"/>
          </w:tcPr>
          <w:p>
            <w:r>
              <w:rPr>
                <w:b/>
                <w:color w:val="D99A16"/>
              </w:rPr>
              <w:t>Differentiator</w:t>
            </w:r>
          </w:p>
        </w:tc>
        <w:tc>
          <w:tcPr>
            <w:tcW w:type="dxa" w:w="5040"/>
          </w:tcPr>
          <w:p>
            <w:r>
              <w:t>Connect inherited biology with modifiable lifestyle through understandable consultation</w:t>
            </w:r>
          </w:p>
        </w:tc>
      </w:tr>
      <w:tr>
        <w:tc>
          <w:tcPr>
            <w:tcW w:type="dxa" w:w="5040"/>
          </w:tcPr>
          <w:p>
            <w:r>
              <w:rPr>
                <w:b/>
                <w:color w:val="D99A16"/>
              </w:rPr>
              <w:t>Emotional outcome</w:t>
            </w:r>
          </w:p>
        </w:tc>
        <w:tc>
          <w:tcPr>
            <w:tcW w:type="dxa" w:w="5040"/>
          </w:tcPr>
          <w:p>
            <w:r>
              <w:t>Clarity and confidence</w:t>
            </w:r>
          </w:p>
        </w:tc>
      </w:tr>
      <w:tr>
        <w:tc>
          <w:tcPr>
            <w:tcW w:type="dxa" w:w="5040"/>
          </w:tcPr>
          <w:p>
            <w:r>
              <w:rPr>
                <w:b/>
                <w:color w:val="D99A16"/>
              </w:rPr>
              <w:t>Functional outcome</w:t>
            </w:r>
          </w:p>
        </w:tc>
        <w:tc>
          <w:tcPr>
            <w:tcW w:type="dxa" w:w="5040"/>
          </w:tcPr>
          <w:p>
            <w:r>
              <w:t>A prioritized, practical wellness action plan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GenoTaste • Brand Proposition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D99A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