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jc w:val="center"/>
      </w:pPr>
      <w:r>
        <w:t>CONTENT PERSONA • BRAND VOICE • NICHE DIRECTION</w:t>
      </w:r>
    </w:p>
    <w:p>
      <w:pPr>
        <w:jc w:val="center"/>
      </w:pPr>
      <w:r>
        <w:rPr>
          <w:rFonts w:ascii="Georgia" w:hAnsi="Georgia"/>
          <w:b/>
          <w:color w:val="7A0C0C"/>
          <w:sz w:val="80"/>
        </w:rPr>
        <w:t>ANGSUMI</w:t>
      </w:r>
    </w:p>
    <w:p>
      <w:pPr>
        <w:jc w:val="center"/>
      </w:pPr>
      <w:r>
        <w:rPr>
          <w:rFonts w:ascii="Georgia" w:hAnsi="Georgia"/>
          <w:i/>
          <w:color w:val="202326"/>
          <w:sz w:val="36"/>
        </w:rPr>
        <w:t>Researcher. Builder. Learner.</w:t>
      </w:r>
    </w:p>
    <w:p>
      <w:pPr>
        <w:jc w:val="center"/>
      </w:pPr>
      <w:r>
        <w:rPr>
          <w:b/>
          <w:color w:val="455B32"/>
          <w:sz w:val="22"/>
        </w:rPr>
        <w:t>Science • Data • Code • Northeast</w:t>
      </w:r>
    </w:p>
    <w:p>
      <w:pPr>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Angsumi logo.jpg"/>
                    <pic:cNvPicPr/>
                  </pic:nvPicPr>
                  <pic:blipFill>
                    <a:blip r:embed="rId9"/>
                    <a:stretch>
                      <a:fillRect/>
                    </a:stretch>
                  </pic:blipFill>
                  <pic:spPr>
                    <a:xfrm>
                      <a:off x="0" y="0"/>
                      <a:ext cx="1143000" cy="1143000"/>
                    </a:xfrm>
                    <a:prstGeom prst="rect"/>
                  </pic:spPr>
                </pic:pic>
              </a:graphicData>
            </a:graphic>
          </wp:inline>
        </w:drawing>
      </w:r>
    </w:p>
    <w:p>
      <w:pPr>
        <w:jc w:val="center"/>
      </w:pPr>
      <w:r>
        <w:rPr>
          <w:rFonts w:ascii="Georgia" w:hAnsi="Georgia"/>
          <w:i/>
          <w:color w:val="7A0C0C"/>
          <w:sz w:val="30"/>
        </w:rPr>
        <w:t>“You do the research. We help your data speak.”</w:t>
      </w:r>
    </w:p>
    <w:p>
      <w:pPr>
        <w:spacing w:before="280"/>
        <w:jc w:val="center"/>
      </w:pPr>
      <w:r>
        <w:rPr>
          <w:sz w:val="21"/>
        </w:rPr>
        <w:t>A working content and character strategy for building ANGSUMI as a recognizable research-and-technology creator brand.</w:t>
      </w:r>
    </w:p>
    <w:p>
      <w:r>
        <w:br w:type="page"/>
      </w:r>
    </w:p>
    <w:p>
      <w:pPr>
        <w:pStyle w:val="Heading1"/>
      </w:pPr>
      <w:r>
        <w:t>1. The Core Positioning</w:t>
      </w:r>
    </w:p>
    <w:p>
      <w:pPr>
        <w:spacing w:before="40" w:after="140"/>
        <w:pBdr>
          <w:bottom w:val="single" w:sz="8" w:space="1" w:color="7A0C0C"/>
        </w:pBdr>
      </w:pPr>
    </w:p>
    <w:p>
      <w:r>
        <w:rPr>
          <w:b w:val="0"/>
        </w:rPr>
        <w:t xml:space="preserve">ANGSUMI is a fictional young Northeast Indian PhD scholar who sits at the intersection of </w:t>
      </w:r>
      <w:r>
        <w:rPr>
          <w:b/>
        </w:rPr>
        <w:t>life science, bioinformatics, data analysis, coding and practical technology</w:t>
      </w:r>
      <w:r>
        <w:t>. She is not presented as an all-knowing professor. She is a researcher-builder who learns difficult things, applies them to real problems, documents the process and explains what she discovers in a way other researchers can understand.</w:t>
      </w:r>
    </w:p>
    <w:p>
      <w:r>
        <w:rPr>
          <w:b/>
        </w:rPr>
        <w:t xml:space="preserve">Primary positioning: </w:t>
      </w:r>
      <w:r>
        <w:t>ANGSUMI — The Researcher Who Builds.</w:t>
      </w:r>
    </w:p>
    <w:p>
      <w:r>
        <w:rPr>
          <w:b/>
        </w:rPr>
        <w:t xml:space="preserve">Supporting identity: </w:t>
      </w:r>
      <w:r>
        <w:t>Science • Data • Code • Northeast.</w:t>
      </w:r>
    </w:p>
    <w:p>
      <w:r>
        <w:rPr>
          <w:b/>
        </w:rPr>
        <w:t xml:space="preserve">Central audience promise: </w:t>
      </w:r>
      <w:r>
        <w:t>Follow ANGSUMI to understand research data better, learn practical bioinformatics and coding, see real PhD life, and watch useful tools and ideas being built from Northeast India.</w:t>
      </w:r>
    </w:p>
    <w:p>
      <w:pPr>
        <w:pStyle w:val="Heading1"/>
      </w:pPr>
      <w:r>
        <w:t>2. Character Persona</w:t>
      </w:r>
    </w:p>
    <w:p>
      <w:pPr>
        <w:spacing w:before="40" w:after="140"/>
        <w:pBdr>
          <w:bottom w:val="single" w:sz="8" w:space="1" w:color="7A0C0C"/>
        </w:pBdr>
      </w:pPr>
    </w:p>
    <w:tbl>
      <w:tblPr>
        <w:tblW w:type="auto" w:w="0"/>
        <w:jc w:val="center"/>
        <w:tblLayout w:type="fixed"/>
        <w:tblLook w:firstColumn="1" w:firstRow="1" w:lastColumn="0" w:lastRow="0" w:noHBand="0" w:noVBand="1" w:val="04A0"/>
      </w:tblPr>
      <w:tblGrid>
        <w:gridCol w:w="5083"/>
        <w:gridCol w:w="5083"/>
      </w:tblGrid>
      <w:tr>
        <w:tc>
          <w:tcPr>
            <w:tcW w:type="dxa" w:w="2448"/>
            <w:tcMar>
              <w:top w:w="90" w:type="dxa"/>
              <w:start w:w="110" w:type="dxa"/>
              <w:bottom w:w="90" w:type="dxa"/>
              <w:end w:w="110" w:type="dxa"/>
            </w:tcMar>
            <w:shd w:fill="F7F0E3"/>
          </w:tcPr>
          <w:p>
            <w:r>
              <w:rPr>
                <w:b/>
              </w:rPr>
              <w:t>Name</w:t>
            </w:r>
          </w:p>
        </w:tc>
        <w:tc>
          <w:tcPr>
            <w:tcW w:type="dxa" w:w="8064"/>
            <w:tcMar>
              <w:top w:w="90" w:type="dxa"/>
              <w:start w:w="110" w:type="dxa"/>
              <w:bottom w:w="90" w:type="dxa"/>
              <w:end w:w="110" w:type="dxa"/>
            </w:tcMar>
          </w:tcPr>
          <w:p>
            <w:r>
              <w:t>ANGSUMI</w:t>
            </w:r>
          </w:p>
        </w:tc>
      </w:tr>
      <w:tr>
        <w:tc>
          <w:tcPr>
            <w:tcW w:type="dxa" w:w="2448"/>
            <w:tcMar>
              <w:top w:w="90" w:type="dxa"/>
              <w:start w:w="110" w:type="dxa"/>
              <w:bottom w:w="90" w:type="dxa"/>
              <w:end w:w="110" w:type="dxa"/>
            </w:tcMar>
            <w:shd w:fill="F7F0E3"/>
          </w:tcPr>
          <w:p>
            <w:r>
              <w:rPr>
                <w:b/>
              </w:rPr>
              <w:t>Age range</w:t>
            </w:r>
          </w:p>
        </w:tc>
        <w:tc>
          <w:tcPr>
            <w:tcW w:type="dxa" w:w="8064"/>
            <w:tcMar>
              <w:top w:w="90" w:type="dxa"/>
              <w:start w:w="110" w:type="dxa"/>
              <w:bottom w:w="90" w:type="dxa"/>
              <w:end w:w="110" w:type="dxa"/>
            </w:tcMar>
          </w:tcPr>
          <w:p>
            <w:r>
              <w:t>25–29</w:t>
            </w:r>
          </w:p>
        </w:tc>
      </w:tr>
      <w:tr>
        <w:tc>
          <w:tcPr>
            <w:tcW w:type="dxa" w:w="2448"/>
            <w:tcMar>
              <w:top w:w="90" w:type="dxa"/>
              <w:start w:w="110" w:type="dxa"/>
              <w:bottom w:w="90" w:type="dxa"/>
              <w:end w:w="110" w:type="dxa"/>
            </w:tcMar>
            <w:shd w:fill="F7F0E3"/>
          </w:tcPr>
          <w:p>
            <w:r>
              <w:rPr>
                <w:b/>
              </w:rPr>
              <w:t>Origin</w:t>
            </w:r>
          </w:p>
        </w:tc>
        <w:tc>
          <w:tcPr>
            <w:tcW w:type="dxa" w:w="8064"/>
            <w:tcMar>
              <w:top w:w="90" w:type="dxa"/>
              <w:start w:w="110" w:type="dxa"/>
              <w:bottom w:w="90" w:type="dxa"/>
              <w:end w:w="110" w:type="dxa"/>
            </w:tcMar>
          </w:tcPr>
          <w:p>
            <w:r>
              <w:t>A small village in Assam, Northeast India</w:t>
            </w:r>
          </w:p>
        </w:tc>
      </w:tr>
      <w:tr>
        <w:tc>
          <w:tcPr>
            <w:tcW w:type="dxa" w:w="2448"/>
            <w:tcMar>
              <w:top w:w="90" w:type="dxa"/>
              <w:start w:w="110" w:type="dxa"/>
              <w:bottom w:w="90" w:type="dxa"/>
              <w:end w:w="110" w:type="dxa"/>
            </w:tcMar>
            <w:shd w:fill="F7F0E3"/>
          </w:tcPr>
          <w:p>
            <w:r>
              <w:rPr>
                <w:b/>
              </w:rPr>
              <w:t>Current life</w:t>
            </w:r>
          </w:p>
        </w:tc>
        <w:tc>
          <w:tcPr>
            <w:tcW w:type="dxa" w:w="8064"/>
            <w:tcMar>
              <w:top w:w="90" w:type="dxa"/>
              <w:start w:w="110" w:type="dxa"/>
              <w:bottom w:w="90" w:type="dxa"/>
              <w:end w:w="110" w:type="dxa"/>
            </w:tcMar>
          </w:tcPr>
          <w:p>
            <w:r>
              <w:t>PhD scholar in Life Sciences at Mizoram University</w:t>
            </w:r>
          </w:p>
        </w:tc>
      </w:tr>
      <w:tr>
        <w:tc>
          <w:tcPr>
            <w:tcW w:type="dxa" w:w="2448"/>
            <w:tcMar>
              <w:top w:w="90" w:type="dxa"/>
              <w:start w:w="110" w:type="dxa"/>
              <w:bottom w:w="90" w:type="dxa"/>
              <w:end w:w="110" w:type="dxa"/>
            </w:tcMar>
            <w:shd w:fill="F7F0E3"/>
          </w:tcPr>
          <w:p>
            <w:r>
              <w:rPr>
                <w:b/>
              </w:rPr>
              <w:t>Academic base</w:t>
            </w:r>
          </w:p>
        </w:tc>
        <w:tc>
          <w:tcPr>
            <w:tcW w:type="dxa" w:w="8064"/>
            <w:tcMar>
              <w:top w:w="90" w:type="dxa"/>
              <w:start w:w="110" w:type="dxa"/>
              <w:bottom w:w="90" w:type="dxa"/>
              <w:end w:w="110" w:type="dxa"/>
            </w:tcMar>
          </w:tcPr>
          <w:p>
            <w:r>
              <w:t>Life sciences, zoology, biochemistry, ecology and biodiversity</w:t>
            </w:r>
          </w:p>
        </w:tc>
      </w:tr>
      <w:tr>
        <w:tc>
          <w:tcPr>
            <w:tcW w:type="dxa" w:w="2448"/>
            <w:tcMar>
              <w:top w:w="90" w:type="dxa"/>
              <w:start w:w="110" w:type="dxa"/>
              <w:bottom w:w="90" w:type="dxa"/>
              <w:end w:w="110" w:type="dxa"/>
            </w:tcMar>
            <w:shd w:fill="F7F0E3"/>
          </w:tcPr>
          <w:p>
            <w:r>
              <w:rPr>
                <w:b/>
              </w:rPr>
              <w:t>Core interests</w:t>
            </w:r>
          </w:p>
        </w:tc>
        <w:tc>
          <w:tcPr>
            <w:tcW w:type="dxa" w:w="8064"/>
            <w:tcMar>
              <w:top w:w="90" w:type="dxa"/>
              <w:start w:w="110" w:type="dxa"/>
              <w:bottom w:w="90" w:type="dxa"/>
              <w:end w:w="110" w:type="dxa"/>
            </w:tcMar>
          </w:tcPr>
          <w:p>
            <w:r>
              <w:t>Bioinformatics, metagenomics, microbiome research, transcriptomics/RNA-seq, scientific data analysis and machine learning</w:t>
            </w:r>
          </w:p>
        </w:tc>
      </w:tr>
      <w:tr>
        <w:tc>
          <w:tcPr>
            <w:tcW w:type="dxa" w:w="2448"/>
            <w:tcMar>
              <w:top w:w="90" w:type="dxa"/>
              <w:start w:w="110" w:type="dxa"/>
              <w:bottom w:w="90" w:type="dxa"/>
              <w:end w:w="110" w:type="dxa"/>
            </w:tcMar>
            <w:shd w:fill="F7F0E3"/>
          </w:tcPr>
          <w:p>
            <w:r>
              <w:rPr>
                <w:b/>
              </w:rPr>
              <w:t>Technical interests</w:t>
            </w:r>
          </w:p>
        </w:tc>
        <w:tc>
          <w:tcPr>
            <w:tcW w:type="dxa" w:w="8064"/>
            <w:tcMar>
              <w:top w:w="90" w:type="dxa"/>
              <w:start w:w="110" w:type="dxa"/>
              <w:bottom w:w="90" w:type="dxa"/>
              <w:end w:w="110" w:type="dxa"/>
            </w:tcMar>
          </w:tcPr>
          <w:p>
            <w:r>
              <w:t>Python, Pandas, Matplotlib, SciPy/Statsmodels, QIIME2, GitHub, Firebase, web development and AI-assisted coding</w:t>
            </w:r>
          </w:p>
        </w:tc>
      </w:tr>
      <w:tr>
        <w:tc>
          <w:tcPr>
            <w:tcW w:type="dxa" w:w="2448"/>
            <w:tcMar>
              <w:top w:w="90" w:type="dxa"/>
              <w:start w:w="110" w:type="dxa"/>
              <w:bottom w:w="90" w:type="dxa"/>
              <w:end w:w="110" w:type="dxa"/>
            </w:tcMar>
            <w:shd w:fill="F7F0E3"/>
          </w:tcPr>
          <w:p>
            <w:r>
              <w:rPr>
                <w:b/>
              </w:rPr>
              <w:t>Languages</w:t>
            </w:r>
          </w:p>
        </w:tc>
        <w:tc>
          <w:tcPr>
            <w:tcW w:type="dxa" w:w="8064"/>
            <w:tcMar>
              <w:top w:w="90" w:type="dxa"/>
              <w:start w:w="110" w:type="dxa"/>
              <w:bottom w:w="90" w:type="dxa"/>
              <w:end w:w="110" w:type="dxa"/>
            </w:tcMar>
          </w:tcPr>
          <w:p>
            <w:r>
              <w:t>English, Hindi and natural Hinglish; Assamese expressions can appear when contextually appropriate</w:t>
            </w:r>
          </w:p>
        </w:tc>
      </w:tr>
      <w:tr>
        <w:tc>
          <w:tcPr>
            <w:tcW w:type="dxa" w:w="2448"/>
            <w:tcMar>
              <w:top w:w="90" w:type="dxa"/>
              <w:start w:w="110" w:type="dxa"/>
              <w:bottom w:w="90" w:type="dxa"/>
              <w:end w:w="110" w:type="dxa"/>
            </w:tcMar>
            <w:shd w:fill="F7F0E3"/>
          </w:tcPr>
          <w:p>
            <w:r>
              <w:rPr>
                <w:b/>
              </w:rPr>
              <w:t>Personality</w:t>
            </w:r>
          </w:p>
        </w:tc>
        <w:tc>
          <w:tcPr>
            <w:tcW w:type="dxa" w:w="8064"/>
            <w:tcMar>
              <w:top w:w="90" w:type="dxa"/>
              <w:start w:w="110" w:type="dxa"/>
              <w:bottom w:w="90" w:type="dxa"/>
              <w:end w:w="110" w:type="dxa"/>
            </w:tcMar>
          </w:tcPr>
          <w:p>
            <w:r>
              <w:t>Curious, grounded, practical, quietly ambitious, slightly nerdy, persistent and experimental</w:t>
            </w:r>
          </w:p>
        </w:tc>
      </w:tr>
      <w:tr>
        <w:tc>
          <w:tcPr>
            <w:tcW w:type="dxa" w:w="2448"/>
            <w:tcMar>
              <w:top w:w="90" w:type="dxa"/>
              <w:start w:w="110" w:type="dxa"/>
              <w:bottom w:w="90" w:type="dxa"/>
              <w:end w:w="110" w:type="dxa"/>
            </w:tcMar>
            <w:shd w:fill="F7F0E3"/>
          </w:tcPr>
          <w:p>
            <w:r>
              <w:rPr>
                <w:b/>
              </w:rPr>
              <w:t>Core belief</w:t>
            </w:r>
          </w:p>
        </w:tc>
        <w:tc>
          <w:tcPr>
            <w:tcW w:type="dxa" w:w="8064"/>
            <w:tcMar>
              <w:top w:w="90" w:type="dxa"/>
              <w:start w:w="110" w:type="dxa"/>
              <w:bottom w:w="90" w:type="dxa"/>
              <w:end w:w="110" w:type="dxa"/>
            </w:tcMar>
          </w:tcPr>
          <w:p>
            <w:r>
              <w:t>Technology should make difficult things easier to understand.</w:t>
            </w:r>
          </w:p>
        </w:tc>
      </w:tr>
      <w:tr>
        <w:tc>
          <w:tcPr>
            <w:tcW w:type="dxa" w:w="2448"/>
            <w:tcMar>
              <w:top w:w="90" w:type="dxa"/>
              <w:start w:w="110" w:type="dxa"/>
              <w:bottom w:w="90" w:type="dxa"/>
              <w:end w:w="110" w:type="dxa"/>
            </w:tcMar>
            <w:shd w:fill="F7F0E3"/>
          </w:tcPr>
          <w:p>
            <w:r>
              <w:rPr>
                <w:b/>
              </w:rPr>
              <w:t>Research belief</w:t>
            </w:r>
          </w:p>
        </w:tc>
        <w:tc>
          <w:tcPr>
            <w:tcW w:type="dxa" w:w="8064"/>
            <w:tcMar>
              <w:top w:w="90" w:type="dxa"/>
              <w:start w:w="110" w:type="dxa"/>
              <w:bottom w:w="90" w:type="dxa"/>
              <w:end w:w="110" w:type="dxa"/>
            </w:tcMar>
          </w:tcPr>
          <w:p>
            <w:r>
              <w:t>Data is not the result. Understanding the data is the result.</w:t>
            </w:r>
          </w:p>
        </w:tc>
      </w:tr>
    </w:tbl>
    <w:p>
      <w:pPr>
        <w:pStyle w:val="Heading2"/>
      </w:pPr>
      <w:r>
        <w:t>Her backstory</w:t>
      </w:r>
    </w:p>
    <w:p>
      <w:r>
        <w:t>ANGSUMI grew up seeing technology mostly as something people used rather than something they built. Research changed that. Once she encountered large biological datasets, statistics, scientific figures and computational workflows, she began teaching herself Python, analysis and bioinformatics so she could solve her own research problems. One script became a plot; plots became questions; questions led to machine learning, metagenomics, transcriptomics and web tools. She eventually realized that she enjoys living between two worlds: biology and computation.</w:t>
      </w:r>
    </w:p>
    <w:p>
      <w:r>
        <w:rPr>
          <w:b/>
        </w:rPr>
        <w:t xml:space="preserve">Her defining mindset is: </w:t>
      </w:r>
      <w:r>
        <w:rPr>
          <w:i/>
        </w:rPr>
        <w:t>“I don’t know exactly how to do it yet — but I can probably learn.”</w:t>
      </w:r>
    </w:p>
    <w:p>
      <w:pPr>
        <w:pStyle w:val="Heading1"/>
      </w:pPr>
      <w:r>
        <w:t>3. What Makes ANGSUMI Distinctive</w:t>
      </w:r>
    </w:p>
    <w:p>
      <w:pPr>
        <w:spacing w:before="40" w:after="140"/>
        <w:pBdr>
          <w:bottom w:val="single" w:sz="8" w:space="1" w:color="7A0C0C"/>
        </w:pBdr>
      </w:pPr>
    </w:p>
    <w:p>
      <w:pPr>
        <w:pStyle w:val="ListBullet"/>
        <w:spacing w:after="60"/>
      </w:pPr>
      <w:r>
        <w:t>She comes from an ordinary Northeast Indian background but works with modern computational science.</w:t>
      </w:r>
    </w:p>
    <w:p>
      <w:pPr>
        <w:pStyle w:val="ListBullet"/>
        <w:spacing w:after="60"/>
      </w:pPr>
      <w:r>
        <w:t>She is a biologist who codes because she keeps finding problems worth solving.</w:t>
      </w:r>
    </w:p>
    <w:p>
      <w:pPr>
        <w:pStyle w:val="ListBullet"/>
        <w:spacing w:after="60"/>
      </w:pPr>
      <w:r>
        <w:t>She respects academic rigor but dislikes unnecessary complexity and jargon.</w:t>
      </w:r>
    </w:p>
    <w:p>
      <w:pPr>
        <w:pStyle w:val="ListBullet"/>
        <w:spacing w:after="60"/>
      </w:pPr>
      <w:r>
        <w:t>She can move naturally from a metagenomics pipeline to a website, a scientific figure, a local digital problem or a field visit.</w:t>
      </w:r>
    </w:p>
    <w:p>
      <w:pPr>
        <w:pStyle w:val="ListBullet"/>
        <w:spacing w:after="60"/>
      </w:pPr>
      <w:r>
        <w:t>Her regional identity is authentic context, not costume or decoration.</w:t>
      </w:r>
    </w:p>
    <w:p>
      <w:pPr>
        <w:pStyle w:val="ListBullet"/>
        <w:spacing w:after="60"/>
      </w:pPr>
      <w:r>
        <w:t>She is ambitious without behaving like a loud startup founder or a polished corporate spokesperson.</w:t>
      </w:r>
    </w:p>
    <w:p>
      <w:pPr>
        <w:pStyle w:val="ListBullet"/>
        <w:spacing w:after="60"/>
      </w:pPr>
      <w:r>
        <w:t>Her content shows progress, mistakes and experimentation—not only finished success.</w:t>
      </w:r>
    </w:p>
    <w:p>
      <w:pPr>
        <w:pStyle w:val="Heading2"/>
      </w:pPr>
      <w:r>
        <w:t>The central contradiction</w:t>
      </w:r>
    </w:p>
    <w:p>
      <w:r>
        <w:t>She loves biological complexity but hates unnecessarily complicated software. She is a researcher who thinks like a product builder; locally rooted but globally curious; academically serious but conversational enough to admit when something confused her. That tension is the engine of the character.</w:t>
      </w:r>
    </w:p>
    <w:p>
      <w:pPr>
        <w:pStyle w:val="Heading1"/>
      </w:pPr>
      <w:r>
        <w:t>4. Niche Direction</w:t>
      </w:r>
    </w:p>
    <w:p>
      <w:pPr>
        <w:spacing w:before="40" w:after="140"/>
        <w:pBdr>
          <w:bottom w:val="single" w:sz="8" w:space="1" w:color="7A0C0C"/>
        </w:pBdr>
      </w:pPr>
    </w:p>
    <w:p>
      <w:r>
        <w:rPr>
          <w:b/>
        </w:rPr>
        <w:t xml:space="preserve">Recommended niche: </w:t>
      </w:r>
      <w:r>
        <w:t>a Northeast Indian PhD scholar who learns and builds at the intersection of bioinformatics, research data and code.</w:t>
      </w:r>
    </w:p>
    <w:p>
      <w:r>
        <w:rPr>
          <w:b/>
        </w:rPr>
        <w:t xml:space="preserve">Do not reduce her to “Bioinformatics Expert.” </w:t>
      </w:r>
      <w:r>
        <w:t>That makes every post feel obligated to teach advanced bioinformatics and limits future projects.</w:t>
      </w:r>
    </w:p>
    <w:p>
      <w:r>
        <w:rPr>
          <w:b/>
        </w:rPr>
        <w:t xml:space="preserve">Do not broaden her into “Tech &amp; Science Creator.” </w:t>
      </w:r>
      <w:r>
        <w:t>That is too generic to create a memorable reason to follow.</w:t>
      </w:r>
    </w:p>
    <w:p>
      <w:r>
        <w:rPr>
          <w:b/>
        </w:rPr>
        <w:t xml:space="preserve">The useful middle ground is: </w:t>
      </w:r>
      <w:r>
        <w:rPr>
          <w:b/>
          <w:color w:val="7A0C0C"/>
        </w:rPr>
        <w:t>The Researcher Who Builds.</w:t>
      </w:r>
    </w:p>
    <w:p>
      <w:pPr>
        <w:pStyle w:val="Heading1"/>
      </w:pPr>
      <w:r>
        <w:t>5. Content Pillars</w:t>
      </w:r>
    </w:p>
    <w:p>
      <w:pPr>
        <w:spacing w:before="40" w:after="140"/>
        <w:pBdr>
          <w:bottom w:val="single" w:sz="8" w:space="1" w:color="7A0C0C"/>
        </w:pBdr>
      </w:pPr>
    </w:p>
    <w:tbl>
      <w:tblPr>
        <w:tblW w:type="auto" w:w="0"/>
        <w:jc w:val="center"/>
        <w:tblLook w:firstColumn="1" w:firstRow="1" w:lastColumn="0" w:lastRow="0" w:noHBand="0" w:noVBand="1" w:val="04A0"/>
      </w:tblPr>
      <w:tblGrid>
        <w:gridCol w:w="3389"/>
        <w:gridCol w:w="3389"/>
        <w:gridCol w:w="3389"/>
      </w:tblGrid>
      <w:tr>
        <w:tc>
          <w:tcPr>
            <w:tcW w:type="dxa" w:w="3389"/>
            <w:shd w:fill="7A0C0C"/>
          </w:tcPr>
          <w:p>
            <w:r>
              <w:rPr>
                <w:b/>
                <w:color w:val="FFFFFF"/>
              </w:rPr>
              <w:t>Pillar</w:t>
            </w:r>
          </w:p>
        </w:tc>
        <w:tc>
          <w:tcPr>
            <w:tcW w:type="dxa" w:w="3389"/>
            <w:shd w:fill="7A0C0C"/>
          </w:tcPr>
          <w:p>
            <w:r>
              <w:rPr>
                <w:b/>
                <w:color w:val="FFFFFF"/>
              </w:rPr>
              <w:t>Share</w:t>
            </w:r>
          </w:p>
        </w:tc>
        <w:tc>
          <w:tcPr>
            <w:tcW w:type="dxa" w:w="3389"/>
            <w:shd w:fill="7A0C0C"/>
          </w:tcPr>
          <w:p>
            <w:r>
              <w:rPr>
                <w:b/>
                <w:color w:val="FFFFFF"/>
              </w:rPr>
              <w:t>Purpose / Examples</w:t>
            </w:r>
          </w:p>
        </w:tc>
      </w:tr>
      <w:tr>
        <w:tc>
          <w:tcPr>
            <w:tcW w:type="dxa" w:w="3389"/>
            <w:tcMar>
              <w:top w:w="90" w:type="dxa"/>
              <w:start w:w="110" w:type="dxa"/>
              <w:bottom w:w="90" w:type="dxa"/>
              <w:end w:w="110" w:type="dxa"/>
            </w:tcMar>
          </w:tcPr>
          <w:p>
            <w:r>
              <w:rPr>
                <w:b/>
              </w:rPr>
              <w:t>Bioinformatics &amp; Research Data</w:t>
            </w:r>
          </w:p>
        </w:tc>
        <w:tc>
          <w:tcPr>
            <w:tcW w:type="dxa" w:w="3389"/>
            <w:tcMar>
              <w:top w:w="90" w:type="dxa"/>
              <w:start w:w="110" w:type="dxa"/>
              <w:bottom w:w="90" w:type="dxa"/>
              <w:end w:w="110" w:type="dxa"/>
            </w:tcMar>
          </w:tcPr>
          <w:p>
            <w:r>
              <w:rPr>
                <w:b/>
              </w:rPr>
              <w:t>30%</w:t>
            </w:r>
          </w:p>
        </w:tc>
        <w:tc>
          <w:tcPr>
            <w:tcW w:type="dxa" w:w="3389"/>
            <w:tcMar>
              <w:top w:w="90" w:type="dxa"/>
              <w:start w:w="110" w:type="dxa"/>
              <w:bottom w:w="90" w:type="dxa"/>
              <w:end w:w="110" w:type="dxa"/>
            </w:tcMar>
          </w:tcPr>
          <w:p>
            <w:r>
              <w:t>RNA-seq, metagenomics, microbiome, biological datasets, workflow logic, statistics, research figures and what an analysis actually means.</w:t>
            </w:r>
          </w:p>
        </w:tc>
      </w:tr>
      <w:tr>
        <w:tc>
          <w:tcPr>
            <w:tcW w:type="dxa" w:w="3389"/>
            <w:tcMar>
              <w:top w:w="90" w:type="dxa"/>
              <w:start w:w="110" w:type="dxa"/>
              <w:bottom w:w="90" w:type="dxa"/>
              <w:end w:w="110" w:type="dxa"/>
            </w:tcMar>
          </w:tcPr>
          <w:p>
            <w:r>
              <w:rPr>
                <w:b/>
              </w:rPr>
              <w:t>Coding &amp; Building</w:t>
            </w:r>
          </w:p>
        </w:tc>
        <w:tc>
          <w:tcPr>
            <w:tcW w:type="dxa" w:w="3389"/>
            <w:tcMar>
              <w:top w:w="90" w:type="dxa"/>
              <w:start w:w="110" w:type="dxa"/>
              <w:bottom w:w="90" w:type="dxa"/>
              <w:end w:w="110" w:type="dxa"/>
            </w:tcMar>
          </w:tcPr>
          <w:p>
            <w:r>
              <w:rPr>
                <w:b/>
              </w:rPr>
              <w:t>20%</w:t>
            </w:r>
          </w:p>
        </w:tc>
        <w:tc>
          <w:tcPr>
            <w:tcW w:type="dxa" w:w="3389"/>
            <w:tcMar>
              <w:top w:w="90" w:type="dxa"/>
              <w:start w:w="110" w:type="dxa"/>
              <w:bottom w:w="90" w:type="dxa"/>
              <w:end w:w="110" w:type="dxa"/>
            </w:tcMar>
          </w:tcPr>
          <w:p>
            <w:r>
              <w:t>Python, websites, GitHub, AI-assisted coding, automation, dashboards, tiny research tools and products built from scratch.</w:t>
            </w:r>
          </w:p>
        </w:tc>
      </w:tr>
      <w:tr>
        <w:tc>
          <w:tcPr>
            <w:tcW w:type="dxa" w:w="3389"/>
            <w:tcMar>
              <w:top w:w="90" w:type="dxa"/>
              <w:start w:w="110" w:type="dxa"/>
              <w:bottom w:w="90" w:type="dxa"/>
              <w:end w:w="110" w:type="dxa"/>
            </w:tcMar>
          </w:tcPr>
          <w:p>
            <w:r>
              <w:rPr>
                <w:b/>
              </w:rPr>
              <w:t>Real PhD Life</w:t>
            </w:r>
          </w:p>
        </w:tc>
        <w:tc>
          <w:tcPr>
            <w:tcW w:type="dxa" w:w="3389"/>
            <w:tcMar>
              <w:top w:w="90" w:type="dxa"/>
              <w:start w:w="110" w:type="dxa"/>
              <w:bottom w:w="90" w:type="dxa"/>
              <w:end w:w="110" w:type="dxa"/>
            </w:tcMar>
          </w:tcPr>
          <w:p>
            <w:r>
              <w:rPr>
                <w:b/>
              </w:rPr>
              <w:t>20%</w:t>
            </w:r>
          </w:p>
        </w:tc>
        <w:tc>
          <w:tcPr>
            <w:tcW w:type="dxa" w:w="3389"/>
            <w:tcMar>
              <w:top w:w="90" w:type="dxa"/>
              <w:start w:w="110" w:type="dxa"/>
              <w:bottom w:w="90" w:type="dxa"/>
              <w:end w:w="110" w:type="dxa"/>
            </w:tcMar>
          </w:tcPr>
          <w:p>
            <w:r>
              <w:t>Lab life, fieldwork, deadlines, papers, failed analyses, learning new methods, university life and researcher humor.</w:t>
            </w:r>
          </w:p>
        </w:tc>
      </w:tr>
      <w:tr>
        <w:tc>
          <w:tcPr>
            <w:tcW w:type="dxa" w:w="3389"/>
            <w:tcMar>
              <w:top w:w="90" w:type="dxa"/>
              <w:start w:w="110" w:type="dxa"/>
              <w:bottom w:w="90" w:type="dxa"/>
              <w:end w:w="110" w:type="dxa"/>
            </w:tcMar>
          </w:tcPr>
          <w:p>
            <w:r>
              <w:rPr>
                <w:b/>
              </w:rPr>
              <w:t>Data → Story</w:t>
            </w:r>
          </w:p>
        </w:tc>
        <w:tc>
          <w:tcPr>
            <w:tcW w:type="dxa" w:w="3389"/>
            <w:tcMar>
              <w:top w:w="90" w:type="dxa"/>
              <w:start w:w="110" w:type="dxa"/>
              <w:bottom w:w="90" w:type="dxa"/>
              <w:end w:w="110" w:type="dxa"/>
            </w:tcMar>
          </w:tcPr>
          <w:p>
            <w:r>
              <w:rPr>
                <w:b/>
              </w:rPr>
              <w:t>15%</w:t>
            </w:r>
          </w:p>
        </w:tc>
        <w:tc>
          <w:tcPr>
            <w:tcW w:type="dxa" w:w="3389"/>
            <w:tcMar>
              <w:top w:w="90" w:type="dxa"/>
              <w:start w:w="110" w:type="dxa"/>
              <w:bottom w:w="90" w:type="dxa"/>
              <w:end w:w="110" w:type="dxa"/>
            </w:tcMar>
          </w:tcPr>
          <w:p>
            <w:r>
              <w:t>Before/after visualizations, messy spreadsheets, figure makeovers, statistical mistakes and publication-ready scientific communication.</w:t>
            </w:r>
          </w:p>
        </w:tc>
      </w:tr>
      <w:tr>
        <w:tc>
          <w:tcPr>
            <w:tcW w:type="dxa" w:w="3389"/>
            <w:tcMar>
              <w:top w:w="90" w:type="dxa"/>
              <w:start w:w="110" w:type="dxa"/>
              <w:bottom w:w="90" w:type="dxa"/>
              <w:end w:w="110" w:type="dxa"/>
            </w:tcMar>
          </w:tcPr>
          <w:p>
            <w:r>
              <w:rPr>
                <w:b/>
              </w:rPr>
              <w:t>Northeast + Science Life</w:t>
            </w:r>
          </w:p>
        </w:tc>
        <w:tc>
          <w:tcPr>
            <w:tcW w:type="dxa" w:w="3389"/>
            <w:tcMar>
              <w:top w:w="90" w:type="dxa"/>
              <w:start w:w="110" w:type="dxa"/>
              <w:bottom w:w="90" w:type="dxa"/>
              <w:end w:w="110" w:type="dxa"/>
            </w:tcMar>
          </w:tcPr>
          <w:p>
            <w:r>
              <w:rPr>
                <w:b/>
              </w:rPr>
              <w:t>10%</w:t>
            </w:r>
          </w:p>
        </w:tc>
        <w:tc>
          <w:tcPr>
            <w:tcW w:type="dxa" w:w="3389"/>
            <w:tcMar>
              <w:top w:w="90" w:type="dxa"/>
              <w:start w:w="110" w:type="dxa"/>
              <w:bottom w:w="90" w:type="dxa"/>
              <w:end w:w="110" w:type="dxa"/>
            </w:tcMar>
          </w:tcPr>
          <w:p>
            <w:r>
              <w:t>Assam and Mizoram, biodiversity, field visits, local culture, university environments and regional problems that science or technology can help solve.</w:t>
            </w:r>
          </w:p>
        </w:tc>
      </w:tr>
      <w:tr>
        <w:tc>
          <w:tcPr>
            <w:tcW w:type="dxa" w:w="3389"/>
            <w:tcMar>
              <w:top w:w="90" w:type="dxa"/>
              <w:start w:w="110" w:type="dxa"/>
              <w:bottom w:w="90" w:type="dxa"/>
              <w:end w:w="110" w:type="dxa"/>
            </w:tcMar>
          </w:tcPr>
          <w:p>
            <w:r>
              <w:rPr>
                <w:b/>
              </w:rPr>
              <w:t>ANGSUMI Builds</w:t>
            </w:r>
          </w:p>
        </w:tc>
        <w:tc>
          <w:tcPr>
            <w:tcW w:type="dxa" w:w="3389"/>
            <w:tcMar>
              <w:top w:w="90" w:type="dxa"/>
              <w:start w:w="110" w:type="dxa"/>
              <w:bottom w:w="90" w:type="dxa"/>
              <w:end w:w="110" w:type="dxa"/>
            </w:tcMar>
          </w:tcPr>
          <w:p>
            <w:r>
              <w:rPr>
                <w:b/>
              </w:rPr>
              <w:t>5%</w:t>
            </w:r>
          </w:p>
        </w:tc>
        <w:tc>
          <w:tcPr>
            <w:tcW w:type="dxa" w:w="3389"/>
            <w:tcMar>
              <w:top w:w="90" w:type="dxa"/>
              <w:start w:w="110" w:type="dxa"/>
              <w:bottom w:w="90" w:type="dxa"/>
              <w:end w:w="110" w:type="dxa"/>
            </w:tcMar>
          </w:tcPr>
          <w:p>
            <w:r>
              <w:t>Products, websites, research services, experiments and new systems being developed under the ANGSUMI identity.</w:t>
            </w:r>
          </w:p>
        </w:tc>
      </w:tr>
    </w:tbl>
    <w:p>
      <w:pPr>
        <w:pStyle w:val="Heading1"/>
      </w:pPr>
      <w:r>
        <w:t>6. Tone of Voice</w:t>
      </w:r>
    </w:p>
    <w:p>
      <w:pPr>
        <w:spacing w:before="40" w:after="140"/>
        <w:pBdr>
          <w:bottom w:val="single" w:sz="8" w:space="1" w:color="7A0C0C"/>
        </w:pBdr>
      </w:pPr>
    </w:p>
    <w:p>
      <w:r>
        <w:rPr>
          <w:b/>
        </w:rPr>
        <w:t xml:space="preserve">Core rule: </w:t>
      </w:r>
      <w:r>
        <w:t>smart without trying to sound smart. ANGSUMI is curious before authoritative. She explains things as someone who has worked to understand them, not as someone lecturing from above.</w:t>
      </w:r>
    </w:p>
    <w:p>
      <w:r>
        <w:rPr>
          <w:b/>
        </w:rPr>
        <w:t xml:space="preserve">Technical mode: </w:t>
      </w:r>
      <w:r>
        <w:t>Mostly clear English. Precise terminology is used when it helps, followed by a simple explanation.</w:t>
      </w:r>
    </w:p>
    <w:p>
      <w:r>
        <w:rPr>
          <w:b/>
        </w:rPr>
        <w:t xml:space="preserve">Casual mode: </w:t>
      </w:r>
      <w:r>
        <w:t>Natural English-dominant Hinglish. Hindi is not forced into every sentence.</w:t>
      </w:r>
    </w:p>
    <w:p>
      <w:r>
        <w:rPr>
          <w:b/>
        </w:rPr>
        <w:t xml:space="preserve">Humor: </w:t>
      </w:r>
      <w:r>
        <w:t>Dry, researcher-specific and occasional. Never turns the account into a meme page.</w:t>
      </w:r>
    </w:p>
    <w:p>
      <w:r>
        <w:rPr>
          <w:b/>
        </w:rPr>
        <w:t xml:space="preserve">Emotion: </w:t>
      </w:r>
      <w:r>
        <w:t>Grounded and understated. Frustration, curiosity, relief and excitement should feel believable.</w:t>
      </w:r>
    </w:p>
    <w:p>
      <w:r>
        <w:rPr>
          <w:b/>
        </w:rPr>
        <w:t xml:space="preserve">Authority: </w:t>
      </w:r>
      <w:r>
        <w:t>Show evidence, workflow and reasoning. Avoid inflated expertise claims.</w:t>
      </w:r>
    </w:p>
    <w:p>
      <w:pPr>
        <w:pStyle w:val="Heading2"/>
      </w:pPr>
      <w:r>
        <w:t>Voice examples</w:t>
      </w:r>
    </w:p>
    <w:p>
      <w:r>
        <w:rPr>
          <w:i/>
        </w:rPr>
        <w:t>“I thought metagenomics was complicated. Turns out, the terminology was making it complicated.”</w:t>
      </w:r>
    </w:p>
    <w:p>
      <w:r>
        <w:rPr>
          <w:i/>
        </w:rPr>
        <w:t>“Okay, ye graph technically correct hai. But can anyone actually understand it?”</w:t>
      </w:r>
    </w:p>
    <w:p>
      <w:r>
        <w:rPr>
          <w:i/>
        </w:rPr>
        <w:t>“Spent four hours debugging this. Problem? One missing comma.”</w:t>
      </w:r>
    </w:p>
    <w:p>
      <w:r>
        <w:rPr>
          <w:i/>
        </w:rPr>
        <w:t>“PhD teaches you many things. Apparently CSS is one of them.”</w:t>
      </w:r>
    </w:p>
    <w:p>
      <w:r>
        <w:rPr>
          <w:i/>
        </w:rPr>
        <w:t>“I finally understood what RNA-seq is actually measuring. Here’s the explanation I wish someone had given me.”</w:t>
      </w:r>
    </w:p>
    <w:p>
      <w:r>
        <w:rPr>
          <w:i/>
        </w:rPr>
        <w:t>“Research mein pretty graph banana goal nahi hai. Graph ko kuch explain karna chahiye.”</w:t>
      </w:r>
    </w:p>
    <w:p>
      <w:pPr>
        <w:pStyle w:val="Heading1"/>
      </w:pPr>
      <w:r>
        <w:t>7. Recurring Content Franchises</w:t>
      </w:r>
    </w:p>
    <w:p>
      <w:pPr>
        <w:spacing w:before="40" w:after="140"/>
        <w:pBdr>
          <w:bottom w:val="single" w:sz="8" w:space="1" w:color="7A0C0C"/>
        </w:pBdr>
      </w:pPr>
    </w:p>
    <w:p>
      <w:r>
        <w:rPr>
          <w:b/>
          <w:color w:val="7A0C0C"/>
        </w:rPr>
        <w:t xml:space="preserve">ANGSUMI Explains — </w:t>
      </w:r>
      <w:r>
        <w:t>Complicated scientific ideas explained simply in 30–60 seconds.</w:t>
      </w:r>
    </w:p>
    <w:p>
      <w:r>
        <w:rPr>
          <w:b/>
          <w:color w:val="7A0C0C"/>
        </w:rPr>
        <w:t xml:space="preserve">What My Data Is Trying to Tell Me — </w:t>
      </w:r>
      <w:r>
        <w:t>Research-data and visualization transformations.</w:t>
      </w:r>
    </w:p>
    <w:p>
      <w:r>
        <w:rPr>
          <w:b/>
          <w:color w:val="7A0C0C"/>
        </w:rPr>
        <w:t xml:space="preserve">PhD.exe — </w:t>
      </w:r>
      <w:r>
        <w:t>Short, relatable and humorous research-life Reels/Shorts.</w:t>
      </w:r>
    </w:p>
    <w:p>
      <w:r>
        <w:rPr>
          <w:b/>
          <w:color w:val="7A0C0C"/>
        </w:rPr>
        <w:t xml:space="preserve">I Built This Because… — </w:t>
      </w:r>
      <w:r>
        <w:t>The problem behind a website, script, dashboard, automation or tool.</w:t>
      </w:r>
    </w:p>
    <w:p>
      <w:r>
        <w:rPr>
          <w:b/>
          <w:color w:val="7A0C0C"/>
        </w:rPr>
        <w:t xml:space="preserve">Bioinformatics Without the Headache — </w:t>
      </w:r>
      <w:r>
        <w:t>Beginner-friendly computational biology and workflow explanations.</w:t>
      </w:r>
    </w:p>
    <w:p>
      <w:r>
        <w:rPr>
          <w:b/>
          <w:color w:val="7A0C0C"/>
        </w:rPr>
        <w:t xml:space="preserve">Researcher to Researcher — </w:t>
      </w:r>
      <w:r>
        <w:t>Practical advice on analysis, figures, workflows, papers and interpretation.</w:t>
      </w:r>
    </w:p>
    <w:p>
      <w:r>
        <w:rPr>
          <w:b/>
          <w:color w:val="7A0C0C"/>
        </w:rPr>
        <w:t xml:space="preserve">Building From Northeast India — </w:t>
      </w:r>
      <w:r>
        <w:t>Science, technology, fieldwork, biodiversity, people and useful regional problem-solving.</w:t>
      </w:r>
    </w:p>
    <w:p>
      <w:pPr>
        <w:pStyle w:val="Heading1"/>
      </w:pPr>
      <w:r>
        <w:t>8. Content Funnel &amp; Selling Strategy</w:t>
      </w:r>
    </w:p>
    <w:p>
      <w:pPr>
        <w:spacing w:before="40" w:after="140"/>
        <w:pBdr>
          <w:bottom w:val="single" w:sz="8" w:space="1" w:color="7A0C0C"/>
        </w:pBdr>
      </w:pPr>
    </w:p>
    <w:p>
      <w:r>
        <w:rPr>
          <w:b/>
        </w:rPr>
        <w:t xml:space="preserve">Recommended mix: </w:t>
      </w:r>
      <w:r>
        <w:t>70% useful / interesting / entertaining • 20% credibility and proof • 10% direct selling.</w:t>
      </w:r>
    </w:p>
    <w:p>
      <w:r>
        <w:rPr>
          <w:b/>
        </w:rPr>
        <w:t>Discovery content</w:t>
      </w:r>
      <w:r>
        <w:t xml:space="preserve"> should answer questions, simplify difficult concepts, entertain researchers or show surprising transformations. </w:t>
      </w:r>
      <w:r>
        <w:rPr>
          <w:b/>
        </w:rPr>
        <w:t>Credibility content</w:t>
      </w:r>
      <w:r>
        <w:t xml:space="preserve"> should demonstrate actual analytical thinking, before/after work, workflows and finished outputs. </w:t>
      </w:r>
      <w:r>
        <w:rPr>
          <w:b/>
        </w:rPr>
        <w:t>Conversion content</w:t>
      </w:r>
      <w:r>
        <w:t xml:space="preserve"> can then invite researchers to use ANGSUMI for data analysis, bioinformatics, scientific visualization, interpretation or custom workflows.</w:t>
      </w:r>
    </w:p>
    <w:p>
      <w:r>
        <w:rPr>
          <w:b/>
        </w:rPr>
        <w:t xml:space="preserve">Example journey: </w:t>
      </w:r>
      <w:r>
        <w:t>“Why PCA looks like colored dots but actually tells you something important” → “I transformed this messy spreadsheet into this figure” → “Have research data but don’t know what analysis to run? ANGSUMI can help.”</w:t>
      </w:r>
    </w:p>
    <w:p>
      <w:pPr>
        <w:pStyle w:val="Heading1"/>
      </w:pPr>
      <w:r>
        <w:t>9. Visual Identity &amp; Character Direction</w:t>
      </w:r>
    </w:p>
    <w:p>
      <w:pPr>
        <w:spacing w:before="40" w:after="140"/>
        <w:pBdr>
          <w:bottom w:val="single" w:sz="8" w:space="1" w:color="7A0C0C"/>
        </w:pBdr>
      </w:pPr>
    </w:p>
    <w:p>
      <w:r>
        <w:rPr>
          <w:b/>
        </w:rPr>
        <w:t xml:space="preserve">Visual palette: </w:t>
      </w:r>
      <w:r>
        <w:t>warm ivory, deep maroon, charcoal, muted green and restrained earthy accents.</w:t>
      </w:r>
    </w:p>
    <w:p>
      <w:pPr>
        <w:pStyle w:val="ListBullet"/>
        <w:spacing w:after="60"/>
      </w:pPr>
      <w:r>
        <w:t>Brand campaigns: cinematic, editorial, elegant serif headlines, negative space and polished scientific visuals.</w:t>
      </w:r>
    </w:p>
    <w:p>
      <w:pPr>
        <w:pStyle w:val="ListBullet"/>
        <w:spacing w:after="60"/>
      </w:pPr>
      <w:r>
        <w:t>Daily creator content: more human and documentary—hostel desk, laptop, lab bench, library, university corridor, fieldwork, bus/train, rain, hills, tea and ordinary working spaces.</w:t>
      </w:r>
    </w:p>
    <w:p>
      <w:pPr>
        <w:pStyle w:val="ListBullet"/>
        <w:spacing w:after="60"/>
      </w:pPr>
      <w:r>
        <w:t>ANGSUMI should look like a believable PhD scholar, not a fashion model: realistic skin texture, simple clothing, minimal makeup and practical hair.</w:t>
      </w:r>
    </w:p>
    <w:p>
      <w:pPr>
        <w:pStyle w:val="ListBullet"/>
        <w:spacing w:after="60"/>
      </w:pPr>
      <w:r>
        <w:t>Traditional Assamese clothing appears when the story naturally calls for it, not as a constant ethnic marker.</w:t>
      </w:r>
    </w:p>
    <w:p>
      <w:pPr>
        <w:pStyle w:val="ListBullet"/>
        <w:spacing w:after="60"/>
      </w:pPr>
      <w:r>
        <w:t>Avoid futuristic labs in every scene. Rotate environments so the character has a real world.</w:t>
      </w:r>
    </w:p>
    <w:p>
      <w:pPr>
        <w:pStyle w:val="ListBullet"/>
        <w:spacing w:after="60"/>
      </w:pPr>
      <w:r>
        <w:t>Use Northeast landscapes as lived context rather than tourism wallpaper.</w:t>
      </w:r>
    </w:p>
    <w:p>
      <w:pPr>
        <w:pStyle w:val="Heading2"/>
      </w:pPr>
      <w:r>
        <w:t>Character appearance</w:t>
      </w:r>
    </w:p>
    <w:p>
      <w:r>
        <w:t>A young Northeast Indian/Assamese woman with a normal, approachable appearance; warm medium to medium-light brown skin; dark hair; expressive dark eyes; realistic facial asymmetry and skin texture; minimal makeup. Typical clothing includes cotton kurtas, simple shirts, sweaters, jeans, lab coat when relevant, sneakers/sandals, backpack and understated accessories.</w:t>
      </w:r>
    </w:p>
    <w:p>
      <w:pPr>
        <w:pStyle w:val="Heading1"/>
      </w:pPr>
      <w:r>
        <w:t>10. The Three Layers of ANGSUMI</w:t>
      </w:r>
    </w:p>
    <w:p>
      <w:pPr>
        <w:spacing w:before="40" w:after="140"/>
        <w:pBdr>
          <w:bottom w:val="single" w:sz="8" w:space="1" w:color="7A0C0C"/>
        </w:pBdr>
      </w:pPr>
    </w:p>
    <w:p>
      <w:r>
        <w:rPr>
          <w:b/>
          <w:color w:val="7A0C0C"/>
        </w:rPr>
        <w:t>Professional ANGSUMI</w:t>
      </w:r>
      <w:r>
        <w:t xml:space="preserve"> — Bioinformatics, statistics, research data, scientific visualization and interpretation.</w:t>
      </w:r>
    </w:p>
    <w:p>
      <w:r>
        <w:rPr>
          <w:b/>
          <w:color w:val="7A0C0C"/>
        </w:rPr>
        <w:t>Builder ANGSUMI</w:t>
      </w:r>
      <w:r>
        <w:t xml:space="preserve"> — Python, AI, websites, tools, automations, products and experiments.</w:t>
      </w:r>
    </w:p>
    <w:p>
      <w:r>
        <w:rPr>
          <w:b/>
          <w:color w:val="7A0C0C"/>
        </w:rPr>
        <w:t>Human ANGSUMI</w:t>
      </w:r>
      <w:r>
        <w:t xml:space="preserve"> — PhD frustrations, Northeast life, curiosity, mistakes, humor, learning and ambition.</w:t>
      </w:r>
    </w:p>
    <w:p>
      <w:r>
        <w:rPr>
          <w:b/>
        </w:rPr>
        <w:t>People may discover her because of bioinformatics, but they should stay because they like ANGSUMI.</w:t>
      </w:r>
    </w:p>
    <w:p>
      <w:pPr>
        <w:pStyle w:val="Heading1"/>
      </w:pPr>
      <w:r>
        <w:t>11. Example Weekly Content Rhythm</w:t>
      </w:r>
    </w:p>
    <w:p>
      <w:pPr>
        <w:spacing w:before="40" w:after="140"/>
        <w:pBdr>
          <w:bottom w:val="single" w:sz="8" w:space="1" w:color="7A0C0C"/>
        </w:pBdr>
      </w:pPr>
    </w:p>
    <w:tbl>
      <w:tblPr>
        <w:tblW w:type="auto" w:w="0"/>
        <w:jc w:val="center"/>
        <w:tblLook w:firstColumn="1" w:firstRow="1" w:lastColumn="0" w:lastRow="0" w:noHBand="0" w:noVBand="1" w:val="04A0"/>
      </w:tblPr>
      <w:tblGrid>
        <w:gridCol w:w="3389"/>
        <w:gridCol w:w="3389"/>
        <w:gridCol w:w="3389"/>
      </w:tblGrid>
      <w:tr>
        <w:tc>
          <w:tcPr>
            <w:tcW w:type="dxa" w:w="3389"/>
            <w:shd w:fill="7A0C0C"/>
          </w:tcPr>
          <w:p>
            <w:r>
              <w:rPr>
                <w:b/>
                <w:color w:val="FFFFFF"/>
              </w:rPr>
              <w:t>Day</w:t>
            </w:r>
          </w:p>
        </w:tc>
        <w:tc>
          <w:tcPr>
            <w:tcW w:type="dxa" w:w="3389"/>
            <w:shd w:fill="7A0C0C"/>
          </w:tcPr>
          <w:p>
            <w:r>
              <w:rPr>
                <w:b/>
                <w:color w:val="FFFFFF"/>
              </w:rPr>
              <w:t>Pillar</w:t>
            </w:r>
          </w:p>
        </w:tc>
        <w:tc>
          <w:tcPr>
            <w:tcW w:type="dxa" w:w="3389"/>
            <w:shd w:fill="7A0C0C"/>
          </w:tcPr>
          <w:p>
            <w:r>
              <w:rPr>
                <w:b/>
                <w:color w:val="FFFFFF"/>
              </w:rPr>
              <w:t>Example</w:t>
            </w:r>
          </w:p>
        </w:tc>
      </w:tr>
      <w:tr>
        <w:tc>
          <w:tcPr>
            <w:tcW w:type="dxa" w:w="3389"/>
            <w:tcMar>
              <w:top w:w="90" w:type="dxa"/>
              <w:start w:w="110" w:type="dxa"/>
              <w:bottom w:w="90" w:type="dxa"/>
              <w:end w:w="110" w:type="dxa"/>
            </w:tcMar>
          </w:tcPr>
          <w:p>
            <w:r>
              <w:rPr>
                <w:b/>
              </w:rPr>
              <w:t>Monday</w:t>
            </w:r>
          </w:p>
        </w:tc>
        <w:tc>
          <w:tcPr>
            <w:tcW w:type="dxa" w:w="3389"/>
            <w:tcMar>
              <w:top w:w="90" w:type="dxa"/>
              <w:start w:w="110" w:type="dxa"/>
              <w:bottom w:w="90" w:type="dxa"/>
              <w:end w:w="110" w:type="dxa"/>
            </w:tcMar>
          </w:tcPr>
          <w:p>
            <w:r>
              <w:t>Bioinformatics</w:t>
            </w:r>
          </w:p>
        </w:tc>
        <w:tc>
          <w:tcPr>
            <w:tcW w:type="dxa" w:w="3389"/>
            <w:tcMar>
              <w:top w:w="90" w:type="dxa"/>
              <w:start w:w="110" w:type="dxa"/>
              <w:bottom w:w="90" w:type="dxa"/>
              <w:end w:w="110" w:type="dxa"/>
            </w:tcMar>
          </w:tcPr>
          <w:p>
            <w:r>
              <w:t>What actually happens after RNA-seq sequencing?</w:t>
            </w:r>
          </w:p>
        </w:tc>
      </w:tr>
      <w:tr>
        <w:tc>
          <w:tcPr>
            <w:tcW w:type="dxa" w:w="3389"/>
            <w:tcMar>
              <w:top w:w="90" w:type="dxa"/>
              <w:start w:w="110" w:type="dxa"/>
              <w:bottom w:w="90" w:type="dxa"/>
              <w:end w:w="110" w:type="dxa"/>
            </w:tcMar>
          </w:tcPr>
          <w:p>
            <w:r>
              <w:rPr>
                <w:b/>
              </w:rPr>
              <w:t>Tuesday</w:t>
            </w:r>
          </w:p>
        </w:tc>
        <w:tc>
          <w:tcPr>
            <w:tcW w:type="dxa" w:w="3389"/>
            <w:tcMar>
              <w:top w:w="90" w:type="dxa"/>
              <w:start w:w="110" w:type="dxa"/>
              <w:bottom w:w="90" w:type="dxa"/>
              <w:end w:w="110" w:type="dxa"/>
            </w:tcMar>
          </w:tcPr>
          <w:p>
            <w:r>
              <w:t>PhD.exe</w:t>
            </w:r>
          </w:p>
        </w:tc>
        <w:tc>
          <w:tcPr>
            <w:tcW w:type="dxa" w:w="3389"/>
            <w:tcMar>
              <w:top w:w="90" w:type="dxa"/>
              <w:start w:w="110" w:type="dxa"/>
              <w:bottom w:w="90" w:type="dxa"/>
              <w:end w:w="110" w:type="dxa"/>
            </w:tcMar>
          </w:tcPr>
          <w:p>
            <w:r>
              <w:t>POV: your code ran successfully but you don’t know why.</w:t>
            </w:r>
          </w:p>
        </w:tc>
      </w:tr>
      <w:tr>
        <w:tc>
          <w:tcPr>
            <w:tcW w:type="dxa" w:w="3389"/>
            <w:tcMar>
              <w:top w:w="90" w:type="dxa"/>
              <w:start w:w="110" w:type="dxa"/>
              <w:bottom w:w="90" w:type="dxa"/>
              <w:end w:w="110" w:type="dxa"/>
            </w:tcMar>
          </w:tcPr>
          <w:p>
            <w:r>
              <w:rPr>
                <w:b/>
              </w:rPr>
              <w:t>Wednesday</w:t>
            </w:r>
          </w:p>
        </w:tc>
        <w:tc>
          <w:tcPr>
            <w:tcW w:type="dxa" w:w="3389"/>
            <w:tcMar>
              <w:top w:w="90" w:type="dxa"/>
              <w:start w:w="110" w:type="dxa"/>
              <w:bottom w:w="90" w:type="dxa"/>
              <w:end w:w="110" w:type="dxa"/>
            </w:tcMar>
          </w:tcPr>
          <w:p>
            <w:r>
              <w:t>Data → Story</w:t>
            </w:r>
          </w:p>
        </w:tc>
        <w:tc>
          <w:tcPr>
            <w:tcW w:type="dxa" w:w="3389"/>
            <w:tcMar>
              <w:top w:w="90" w:type="dxa"/>
              <w:start w:w="110" w:type="dxa"/>
              <w:bottom w:w="90" w:type="dxa"/>
              <w:end w:w="110" w:type="dxa"/>
            </w:tcMar>
          </w:tcPr>
          <w:p>
            <w:r>
              <w:t>Ugly scientific figure → publication-ready transformation.</w:t>
            </w:r>
          </w:p>
        </w:tc>
      </w:tr>
      <w:tr>
        <w:tc>
          <w:tcPr>
            <w:tcW w:type="dxa" w:w="3389"/>
            <w:tcMar>
              <w:top w:w="90" w:type="dxa"/>
              <w:start w:w="110" w:type="dxa"/>
              <w:bottom w:w="90" w:type="dxa"/>
              <w:end w:w="110" w:type="dxa"/>
            </w:tcMar>
          </w:tcPr>
          <w:p>
            <w:r>
              <w:rPr>
                <w:b/>
              </w:rPr>
              <w:t>Thursday</w:t>
            </w:r>
          </w:p>
        </w:tc>
        <w:tc>
          <w:tcPr>
            <w:tcW w:type="dxa" w:w="3389"/>
            <w:tcMar>
              <w:top w:w="90" w:type="dxa"/>
              <w:start w:w="110" w:type="dxa"/>
              <w:bottom w:w="90" w:type="dxa"/>
              <w:end w:w="110" w:type="dxa"/>
            </w:tcMar>
          </w:tcPr>
          <w:p>
            <w:r>
              <w:t>Coding &amp; Building</w:t>
            </w:r>
          </w:p>
        </w:tc>
        <w:tc>
          <w:tcPr>
            <w:tcW w:type="dxa" w:w="3389"/>
            <w:tcMar>
              <w:top w:w="90" w:type="dxa"/>
              <w:start w:w="110" w:type="dxa"/>
              <w:bottom w:w="90" w:type="dxa"/>
              <w:end w:w="110" w:type="dxa"/>
            </w:tcMar>
          </w:tcPr>
          <w:p>
            <w:r>
              <w:t>I built a tiny Python tool because I was tired of doing this manually.</w:t>
            </w:r>
          </w:p>
        </w:tc>
      </w:tr>
      <w:tr>
        <w:tc>
          <w:tcPr>
            <w:tcW w:type="dxa" w:w="3389"/>
            <w:tcMar>
              <w:top w:w="90" w:type="dxa"/>
              <w:start w:w="110" w:type="dxa"/>
              <w:bottom w:w="90" w:type="dxa"/>
              <w:end w:w="110" w:type="dxa"/>
            </w:tcMar>
          </w:tcPr>
          <w:p>
            <w:r>
              <w:rPr>
                <w:b/>
              </w:rPr>
              <w:t>Friday</w:t>
            </w:r>
          </w:p>
        </w:tc>
        <w:tc>
          <w:tcPr>
            <w:tcW w:type="dxa" w:w="3389"/>
            <w:tcMar>
              <w:top w:w="90" w:type="dxa"/>
              <w:start w:w="110" w:type="dxa"/>
              <w:bottom w:w="90" w:type="dxa"/>
              <w:end w:w="110" w:type="dxa"/>
            </w:tcMar>
          </w:tcPr>
          <w:p>
            <w:r>
              <w:t>Real PhD Life</w:t>
            </w:r>
          </w:p>
        </w:tc>
        <w:tc>
          <w:tcPr>
            <w:tcW w:type="dxa" w:w="3389"/>
            <w:tcMar>
              <w:top w:w="90" w:type="dxa"/>
              <w:start w:w="110" w:type="dxa"/>
              <w:bottom w:w="90" w:type="dxa"/>
              <w:end w:w="110" w:type="dxa"/>
            </w:tcMar>
          </w:tcPr>
          <w:p>
            <w:r>
              <w:t>Mini PhD diary: lab, library, analysis or university life.</w:t>
            </w:r>
          </w:p>
        </w:tc>
      </w:tr>
      <w:tr>
        <w:tc>
          <w:tcPr>
            <w:tcW w:type="dxa" w:w="3389"/>
            <w:tcMar>
              <w:top w:w="90" w:type="dxa"/>
              <w:start w:w="110" w:type="dxa"/>
              <w:bottom w:w="90" w:type="dxa"/>
              <w:end w:w="110" w:type="dxa"/>
            </w:tcMar>
          </w:tcPr>
          <w:p>
            <w:r>
              <w:rPr>
                <w:b/>
              </w:rPr>
              <w:t>Saturday</w:t>
            </w:r>
          </w:p>
        </w:tc>
        <w:tc>
          <w:tcPr>
            <w:tcW w:type="dxa" w:w="3389"/>
            <w:tcMar>
              <w:top w:w="90" w:type="dxa"/>
              <w:start w:w="110" w:type="dxa"/>
              <w:bottom w:w="90" w:type="dxa"/>
              <w:end w:w="110" w:type="dxa"/>
            </w:tcMar>
          </w:tcPr>
          <w:p>
            <w:r>
              <w:t>Northeast + Science</w:t>
            </w:r>
          </w:p>
        </w:tc>
        <w:tc>
          <w:tcPr>
            <w:tcW w:type="dxa" w:w="3389"/>
            <w:tcMar>
              <w:top w:w="90" w:type="dxa"/>
              <w:start w:w="110" w:type="dxa"/>
              <w:bottom w:w="90" w:type="dxa"/>
              <w:end w:w="110" w:type="dxa"/>
            </w:tcMar>
          </w:tcPr>
          <w:p>
            <w:r>
              <w:t>Fieldwork, biodiversity or a Northeast science story.</w:t>
            </w:r>
          </w:p>
        </w:tc>
      </w:tr>
      <w:tr>
        <w:tc>
          <w:tcPr>
            <w:tcW w:type="dxa" w:w="3389"/>
            <w:tcMar>
              <w:top w:w="90" w:type="dxa"/>
              <w:start w:w="110" w:type="dxa"/>
              <w:bottom w:w="90" w:type="dxa"/>
              <w:end w:w="110" w:type="dxa"/>
            </w:tcMar>
          </w:tcPr>
          <w:p>
            <w:r>
              <w:rPr>
                <w:b/>
              </w:rPr>
              <w:t>Sunday</w:t>
            </w:r>
          </w:p>
        </w:tc>
        <w:tc>
          <w:tcPr>
            <w:tcW w:type="dxa" w:w="3389"/>
            <w:tcMar>
              <w:top w:w="90" w:type="dxa"/>
              <w:start w:w="110" w:type="dxa"/>
              <w:bottom w:w="90" w:type="dxa"/>
              <w:end w:w="110" w:type="dxa"/>
            </w:tcMar>
          </w:tcPr>
          <w:p>
            <w:r>
              <w:t>ANGSUMI Builds</w:t>
            </w:r>
          </w:p>
        </w:tc>
        <w:tc>
          <w:tcPr>
            <w:tcW w:type="dxa" w:w="3389"/>
            <w:tcMar>
              <w:top w:w="90" w:type="dxa"/>
              <w:start w:w="110" w:type="dxa"/>
              <w:bottom w:w="90" w:type="dxa"/>
              <w:end w:w="110" w:type="dxa"/>
            </w:tcMar>
          </w:tcPr>
          <w:p>
            <w:r>
              <w:t>Show something being built and add a soft conversion CTA.</w:t>
            </w:r>
          </w:p>
        </w:tc>
      </w:tr>
    </w:tbl>
    <w:p>
      <w:pPr>
        <w:pStyle w:val="Heading1"/>
      </w:pPr>
      <w:r>
        <w:t>12. Reel / Short-Form Content Formula</w:t>
      </w:r>
    </w:p>
    <w:p>
      <w:pPr>
        <w:spacing w:before="40" w:after="140"/>
        <w:pBdr>
          <w:bottom w:val="single" w:sz="8" w:space="1" w:color="7A0C0C"/>
        </w:pBdr>
      </w:pPr>
    </w:p>
    <w:p>
      <w:r>
        <w:rPr>
          <w:b/>
        </w:rPr>
        <w:t xml:space="preserve">Default story structure: </w:t>
      </w:r>
      <w:r>
        <w:t>Hook → recognizable problem → curiosity / pattern interrupt → transformation or value → emotional payoff → one CTA.</w:t>
      </w:r>
    </w:p>
    <w:p>
      <w:pPr>
        <w:pStyle w:val="ListBullet"/>
        <w:spacing w:after="60"/>
      </w:pPr>
      <w:r>
        <w:t>Win the first 1–2 seconds with a question, unexpected visual, pain point or contrast.</w:t>
      </w:r>
    </w:p>
    <w:p>
      <w:pPr>
        <w:pStyle w:val="ListBullet"/>
        <w:spacing w:after="60"/>
      </w:pPr>
      <w:r>
        <w:t>One Reel should communicate one central idea.</w:t>
      </w:r>
    </w:p>
    <w:p>
      <w:pPr>
        <w:pStyle w:val="ListBullet"/>
        <w:spacing w:after="60"/>
      </w:pPr>
      <w:r>
        <w:t>Use short readable text and make the story understandable without sound.</w:t>
      </w:r>
    </w:p>
    <w:p>
      <w:pPr>
        <w:pStyle w:val="ListBullet"/>
        <w:spacing w:after="60"/>
      </w:pPr>
      <w:r>
        <w:t>Sell the transformation before listing features.</w:t>
      </w:r>
    </w:p>
    <w:p>
      <w:pPr>
        <w:pStyle w:val="ListBullet"/>
        <w:spacing w:after="60"/>
      </w:pPr>
      <w:r>
        <w:t>Keep continuity in AI-generated video: same person, clothing, environment, props and lighting unless the change is intentional.</w:t>
      </w:r>
    </w:p>
    <w:p>
      <w:pPr>
        <w:pStyle w:val="ListBullet"/>
        <w:spacing w:after="60"/>
      </w:pPr>
      <w:r>
        <w:t>Use one CTA only: visit, WhatsApp, DM, save, comment, share or follow.</w:t>
      </w:r>
    </w:p>
    <w:p>
      <w:pPr>
        <w:pStyle w:val="ListBullet"/>
        <w:spacing w:after="60"/>
      </w:pPr>
      <w:r>
        <w:t>Avoid generic presenter shots, cluttered corporate graphics and repetitive ‘person looking at laptop’ scenes.</w:t>
      </w:r>
    </w:p>
    <w:p>
      <w:pPr>
        <w:pStyle w:val="Heading1"/>
      </w:pPr>
      <w:r>
        <w:t>13. Guardrails: What ANGSUMI Should and Should Not Become</w:t>
      </w:r>
    </w:p>
    <w:p>
      <w:pPr>
        <w:spacing w:before="40" w:after="140"/>
        <w:pBdr>
          <w:bottom w:val="single" w:sz="8" w:space="1" w:color="7A0C0C"/>
        </w:pBdr>
      </w:pPr>
    </w:p>
    <w:tbl>
      <w:tblPr>
        <w:tblW w:type="auto" w:w="0"/>
        <w:jc w:val="center"/>
        <w:tblLook w:firstColumn="1" w:firstRow="1" w:lastColumn="0" w:lastRow="0" w:noHBand="0" w:noVBand="1" w:val="04A0"/>
      </w:tblPr>
      <w:tblGrid>
        <w:gridCol w:w="5083"/>
        <w:gridCol w:w="5083"/>
      </w:tblGrid>
      <w:tr>
        <w:tc>
          <w:tcPr>
            <w:tcW w:type="dxa" w:w="5083"/>
            <w:shd w:fill="455B32"/>
          </w:tcPr>
          <w:p>
            <w:r>
              <w:rPr>
                <w:b/>
                <w:color w:val="FFFFFF"/>
              </w:rPr>
              <w:t>DO</w:t>
            </w:r>
          </w:p>
        </w:tc>
        <w:tc>
          <w:tcPr>
            <w:tcW w:type="dxa" w:w="5083"/>
            <w:shd w:fill="7A0C0C"/>
          </w:tcPr>
          <w:p>
            <w:r>
              <w:rPr>
                <w:b/>
                <w:color w:val="FFFFFF"/>
              </w:rPr>
              <w:t>DON’T</w:t>
            </w:r>
          </w:p>
        </w:tc>
      </w:tr>
      <w:tr>
        <w:tc>
          <w:tcPr>
            <w:tcW w:type="dxa" w:w="5083"/>
            <w:tcMar>
              <w:top w:w="90" w:type="dxa"/>
              <w:start w:w="110" w:type="dxa"/>
              <w:bottom w:w="90" w:type="dxa"/>
              <w:end w:w="110" w:type="dxa"/>
            </w:tcMar>
          </w:tcPr>
          <w:p>
            <w:r>
              <w:t>Document learning and progress.</w:t>
            </w:r>
          </w:p>
        </w:tc>
        <w:tc>
          <w:tcPr>
            <w:tcW w:type="dxa" w:w="5083"/>
            <w:tcMar>
              <w:top w:w="90" w:type="dxa"/>
              <w:start w:w="110" w:type="dxa"/>
              <w:bottom w:w="90" w:type="dxa"/>
              <w:end w:w="110" w:type="dxa"/>
            </w:tcMar>
          </w:tcPr>
          <w:p>
            <w:r>
              <w:t>Pretend to know everything.</w:t>
            </w:r>
          </w:p>
        </w:tc>
      </w:tr>
      <w:tr>
        <w:tc>
          <w:tcPr>
            <w:tcW w:type="dxa" w:w="5083"/>
            <w:tcMar>
              <w:top w:w="90" w:type="dxa"/>
              <w:start w:w="110" w:type="dxa"/>
              <w:bottom w:w="90" w:type="dxa"/>
              <w:end w:w="110" w:type="dxa"/>
            </w:tcMar>
          </w:tcPr>
          <w:p>
            <w:r>
              <w:t>Explain technical ideas simply.</w:t>
            </w:r>
          </w:p>
        </w:tc>
        <w:tc>
          <w:tcPr>
            <w:tcW w:type="dxa" w:w="5083"/>
            <w:tcMar>
              <w:top w:w="90" w:type="dxa"/>
              <w:start w:w="110" w:type="dxa"/>
              <w:bottom w:w="90" w:type="dxa"/>
              <w:end w:w="110" w:type="dxa"/>
            </w:tcMar>
          </w:tcPr>
          <w:p>
            <w:r>
              <w:t>Become a generic motivational influencer.</w:t>
            </w:r>
          </w:p>
        </w:tc>
      </w:tr>
      <w:tr>
        <w:tc>
          <w:tcPr>
            <w:tcW w:type="dxa" w:w="5083"/>
            <w:tcMar>
              <w:top w:w="90" w:type="dxa"/>
              <w:start w:w="110" w:type="dxa"/>
              <w:bottom w:w="90" w:type="dxa"/>
              <w:end w:w="110" w:type="dxa"/>
            </w:tcMar>
          </w:tcPr>
          <w:p>
            <w:r>
              <w:t>Show real research and building processes.</w:t>
            </w:r>
          </w:p>
        </w:tc>
        <w:tc>
          <w:tcPr>
            <w:tcW w:type="dxa" w:w="5083"/>
            <w:tcMar>
              <w:top w:w="90" w:type="dxa"/>
              <w:start w:w="110" w:type="dxa"/>
              <w:bottom w:w="90" w:type="dxa"/>
              <w:end w:w="110" w:type="dxa"/>
            </w:tcMar>
          </w:tcPr>
          <w:p>
            <w:r>
              <w:t>Overuse ethnic costume or regional clichés.</w:t>
            </w:r>
          </w:p>
        </w:tc>
      </w:tr>
      <w:tr>
        <w:tc>
          <w:tcPr>
            <w:tcW w:type="dxa" w:w="5083"/>
            <w:tcMar>
              <w:top w:w="90" w:type="dxa"/>
              <w:start w:w="110" w:type="dxa"/>
              <w:bottom w:w="90" w:type="dxa"/>
              <w:end w:w="110" w:type="dxa"/>
            </w:tcMar>
          </w:tcPr>
          <w:p>
            <w:r>
              <w:t>Use humor sparingly and specifically.</w:t>
            </w:r>
          </w:p>
        </w:tc>
        <w:tc>
          <w:tcPr>
            <w:tcW w:type="dxa" w:w="5083"/>
            <w:tcMar>
              <w:top w:w="90" w:type="dxa"/>
              <w:start w:w="110" w:type="dxa"/>
              <w:bottom w:w="90" w:type="dxa"/>
              <w:end w:w="110" w:type="dxa"/>
            </w:tcMar>
          </w:tcPr>
          <w:p>
            <w:r>
              <w:t>Turn every post into an advertisement.</w:t>
            </w:r>
          </w:p>
        </w:tc>
      </w:tr>
      <w:tr>
        <w:tc>
          <w:tcPr>
            <w:tcW w:type="dxa" w:w="5083"/>
            <w:tcMar>
              <w:top w:w="90" w:type="dxa"/>
              <w:start w:w="110" w:type="dxa"/>
              <w:bottom w:w="90" w:type="dxa"/>
              <w:end w:w="110" w:type="dxa"/>
            </w:tcMar>
          </w:tcPr>
          <w:p>
            <w:r>
              <w:t>Let Northeast identity emerge naturally.</w:t>
            </w:r>
          </w:p>
        </w:tc>
        <w:tc>
          <w:tcPr>
            <w:tcW w:type="dxa" w:w="5083"/>
            <w:tcMar>
              <w:top w:w="90" w:type="dxa"/>
              <w:start w:w="110" w:type="dxa"/>
              <w:bottom w:w="90" w:type="dxa"/>
              <w:end w:w="110" w:type="dxa"/>
            </w:tcMar>
          </w:tcPr>
          <w:p>
            <w:r>
              <w:t>Make unrealistic research or publication claims.</w:t>
            </w:r>
          </w:p>
        </w:tc>
      </w:tr>
      <w:tr>
        <w:tc>
          <w:tcPr>
            <w:tcW w:type="dxa" w:w="5083"/>
            <w:tcMar>
              <w:top w:w="90" w:type="dxa"/>
              <w:start w:w="110" w:type="dxa"/>
              <w:bottom w:w="90" w:type="dxa"/>
              <w:end w:w="110" w:type="dxa"/>
            </w:tcMar>
          </w:tcPr>
          <w:p>
            <w:r>
              <w:t>Build trust before selling.</w:t>
            </w:r>
          </w:p>
        </w:tc>
        <w:tc>
          <w:tcPr>
            <w:tcW w:type="dxa" w:w="5083"/>
            <w:tcMar>
              <w:top w:w="90" w:type="dxa"/>
              <w:start w:w="110" w:type="dxa"/>
              <w:bottom w:w="90" w:type="dxa"/>
              <w:end w:w="110" w:type="dxa"/>
            </w:tcMar>
          </w:tcPr>
          <w:p>
            <w:r>
              <w:t>Use polished AI beauty as the character’s main appeal.</w:t>
            </w:r>
          </w:p>
        </w:tc>
      </w:tr>
    </w:tbl>
    <w:p>
      <w:pPr>
        <w:pStyle w:val="Heading1"/>
      </w:pPr>
      <w:r>
        <w:t>14. Brand Language &amp; Conversion</w:t>
      </w:r>
    </w:p>
    <w:p>
      <w:pPr>
        <w:spacing w:before="40" w:after="140"/>
        <w:pBdr>
          <w:bottom w:val="single" w:sz="8" w:space="1" w:color="7A0C0C"/>
        </w:pBdr>
      </w:pPr>
    </w:p>
    <w:p>
      <w:r>
        <w:rPr>
          <w:b/>
        </w:rPr>
        <w:t xml:space="preserve">Primary brand line: </w:t>
      </w:r>
      <w:r>
        <w:rPr>
          <w:b/>
          <w:color w:val="7A0C0C"/>
        </w:rPr>
        <w:t>You do the research. We help your data speak.</w:t>
      </w:r>
    </w:p>
    <w:p>
      <w:r>
        <w:rPr>
          <w:b/>
        </w:rPr>
        <w:t xml:space="preserve">Supporting line: </w:t>
      </w:r>
      <w:r>
        <w:t>From raw data to real discoveries.</w:t>
      </w:r>
    </w:p>
    <w:p>
      <w:r>
        <w:rPr>
          <w:b/>
        </w:rPr>
        <w:t xml:space="preserve">Website: </w:t>
      </w:r>
      <w:r>
        <w:t>angsumi.online</w:t>
      </w:r>
    </w:p>
    <w:p>
      <w:r>
        <w:rPr>
          <w:b/>
        </w:rPr>
        <w:t xml:space="preserve">WhatsApp: </w:t>
      </w:r>
      <w:r>
        <w:t>7896505109</w:t>
      </w:r>
    </w:p>
    <w:p>
      <w:pPr>
        <w:pStyle w:val="Heading2"/>
      </w:pPr>
      <w:r>
        <w:t>Suggested social bio</w:t>
      </w:r>
    </w:p>
    <w:p>
      <w:r>
        <w:rPr>
          <w:b/>
        </w:rPr>
        <w:t>PhD Scholar • Bioinformatics • Data • Code</w:t>
        <w:br/>
      </w:r>
      <w:r>
        <w:t>Building useful things from Northeast India.</w:t>
        <w:br/>
      </w:r>
      <w:r>
        <w:t>Researcher. Builder. Learner.</w:t>
        <w:br/>
      </w:r>
      <w:r>
        <w:t>↓ You do the research. We help your data speak.</w:t>
      </w:r>
    </w:p>
    <w:p>
      <w:pPr>
        <w:pStyle w:val="Heading1"/>
      </w:pPr>
      <w:r>
        <w:t>15. The Long-Term Story</w:t>
      </w:r>
    </w:p>
    <w:p>
      <w:pPr>
        <w:spacing w:before="40" w:after="140"/>
        <w:pBdr>
          <w:bottom w:val="single" w:sz="8" w:space="1" w:color="7A0C0C"/>
        </w:pBdr>
      </w:pPr>
    </w:p>
    <w:p>
      <w:r>
        <w:rPr>
          <w:b/>
        </w:rPr>
        <w:t>The most important strategic choice is to build ANGSUMI around progress rather than expertise alone.</w:t>
      </w:r>
    </w:p>
    <w:p>
      <w:r>
        <w:t>Her ongoing story is that of a normal girl from Northeast India doing a PhD, learning bioinformatics and coding, building useful things, making mistakes, solving problems and gradually becoming very good at what she does. Research projects, data-analysis services, websites, coding experiments, fieldwork, education tools and future businesses can all become episodes in that same narrative rather than looking like unrelated ventures.</w:t>
      </w:r>
    </w:p>
    <w:p>
      <w:pPr>
        <w:spacing w:before="360"/>
        <w:jc w:val="center"/>
      </w:pPr>
      <w:r>
        <w:rPr>
          <w:rFonts w:ascii="Georgia" w:hAnsi="Georgia"/>
          <w:i/>
          <w:color w:val="7A0C0C"/>
          <w:sz w:val="32"/>
        </w:rPr>
        <w:t>A researcher. A builder. A learner.</w:t>
        <w:br/>
        <w:t>From Northeast India to a larger world.</w:t>
      </w:r>
    </w:p>
    <w:sectPr w:rsidR="00FC693F" w:rsidRPr="0006063C" w:rsidSect="00034616">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ANGSUMI  •  Research | Data | Impact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3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Georgia" w:hAnsi="Georgia"/>
      <w:b/>
      <w:bCs/>
      <w:color w:val="7A0C0C"/>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Georgia" w:hAnsi="Georgia"/>
      <w:b/>
      <w:bCs/>
      <w:color w:val="202326"/>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Georgia" w:hAnsi="Georgia"/>
      <w:b/>
      <w:bCs/>
      <w:color w:val="7A0C0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Georgia" w:hAnsi="Georgia"/>
      <w:b/>
      <w:color w:val="7A0C0C"/>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80"/>
    </w:pPr>
    <w:rPr>
      <w:rFonts w:ascii="Aptos" w:hAnsi="Aptos"/>
      <w:b/>
      <w:color w:val="7A0C0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