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f4cf37dda091211c39e1175052afbbf1201e869"/>
    <w:p>
      <w:pPr>
        <w:pStyle w:val="Heading1"/>
      </w:pPr>
      <w:r>
        <w:t xml:space="preserve">Executive Summary — Marine Design and Engineering Services IDIQ, Puget Sound Naval Shipyard</w:t>
      </w:r>
    </w:p>
    <w:p>
      <w:pPr>
        <w:pStyle w:val="FirstParagraph"/>
      </w:pPr>
      <w:r>
        <w:rPr>
          <w:b/>
          <w:bCs/>
        </w:rPr>
        <w:t xml:space="preserve">Recommendation: pursue as prime.</w:t>
      </w:r>
    </w:p>
    <w:p>
      <w:pPr>
        <w:pStyle w:val="BodyText"/>
      </w:pPr>
      <w:r>
        <w:t xml:space="preserve">Puget Sound Naval Shipyard, in Bremerton, Washington, is about to recompete the contract it uses to bring in marine design and engineering help when its in-house workload spikes. The work is naval-architecture and multi-discipline engineering for Navy surface ships and submarines — ship inspections, drawings, work packages, and technical documentation. The shipyard plans to award up to five contracts, expects to release the formal solicitation in October, and is collecting industry responses now, due July 25.</w:t>
      </w:r>
    </w:p>
    <w:p>
      <w:pPr>
        <w:pStyle w:val="BodyText"/>
      </w:pPr>
      <w:r>
        <w:rPr>
          <w:b/>
          <w:bCs/>
        </w:rPr>
        <w:t xml:space="preserve">The fit rests on work we already do.</w:t>
      </w:r>
      <w:r>
        <w:t xml:space="preserve"> </w:t>
      </w:r>
      <w:r>
        <w:t xml:space="preserve">At Portsmouth Naval Shipyard — the East Coast’s submarine overhaul yard and the direct counterpart to Puget Sound — we provide this same engineering and maintenance-planning support for submarine repair and modernization, including support to the shipyard’s planning and engineering center and its deep-submergence program. We also run a naval-architecture and marine-engineering practice and design ships to Navy standards. The submarine credibility this contract demands is credibility we have already earned at a peer shipyard.</w:t>
      </w:r>
    </w:p>
    <w:p>
      <w:pPr>
        <w:pStyle w:val="BodyText"/>
      </w:pPr>
      <w:r>
        <w:rPr>
          <w:b/>
          <w:bCs/>
        </w:rPr>
        <w:t xml:space="preserve">Two things that would normally stop a newcomer don’t stop us.</w:t>
      </w:r>
      <w:r>
        <w:t xml:space="preserve"> </w:t>
      </w:r>
      <w:r>
        <w:t xml:space="preserve">The contract requires a full-service office in Kitsap County, Washington within 30 days of award — and we already operate an office in Silverdale, inside Kitsap County, minutes from the shipyard. And the field is thinner than it looks: three firms held the prior contracts, but only two are real competitors today — Huntington Ingalls, with about $20 million of work performed, and Tridentis, with about $14 million and by far the most activity. The third, Gryphon Marine, has performed almost nothing since 2020. With the shipyard widening the award from three contracts to as many as five, there is real room for us as a new prime.</w:t>
      </w:r>
    </w:p>
    <w:p>
      <w:pPr>
        <w:pStyle w:val="BodyText"/>
      </w:pPr>
      <w:r>
        <w:rPr>
          <w:b/>
          <w:bCs/>
        </w:rPr>
        <w:t xml:space="preserve">The money is steady rather than spectacular.</w:t>
      </w:r>
      <w:r>
        <w:t xml:space="preserve"> </w:t>
      </w:r>
      <w:r>
        <w:t xml:space="preserve">This is a stream of small-to-mid engineering task orders, most in the $0.5–2 million range, reflecting the contract’s purpose as surge capacity. The value to us is a durable book of Navy engineering work squarely in our wheelhouse, a foothold at a major nuclear shipyard, and a submarine-engineering credential that carries into other pursuits.</w:t>
      </w:r>
    </w:p>
    <w:p>
      <w:pPr>
        <w:pStyle w:val="BodyText"/>
      </w:pPr>
      <w:r>
        <w:rPr>
          <w:b/>
          <w:bCs/>
        </w:rPr>
        <w:t xml:space="preserve">One thing to confirm before we respond.</w:t>
      </w:r>
      <w:r>
        <w:t xml:space="preserve"> </w:t>
      </w:r>
      <w:r>
        <w:t xml:space="preserve">We know we do this category of work, but we have not yet matched our specific past performance to the shipyard’s exact terms — the ship installation and removal drawings, technical work documents, and record-drawing updates they name. That confirmation is internal, and it is the first thing to nail down.</w:t>
      </w:r>
    </w:p>
    <w:p>
      <w:pPr>
        <w:pStyle w:val="BodyText"/>
      </w:pPr>
      <w:r>
        <w:rPr>
          <w:b/>
          <w:bCs/>
        </w:rPr>
        <w:t xml:space="preserve">The ask.</w:t>
      </w:r>
      <w:r>
        <w:t xml:space="preserve"> </w:t>
      </w:r>
      <w:r>
        <w:t xml:space="preserve">Endorse pursuing this as prime; confirm our submarine-design past performance against the shipyard’s specific requirements; and commit the resources to put in a strong industry response by July 25 and to bid the October solicitation.</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2026-06-11T04:27:51Z</dcterms:created>
  <dcterms:modified xsi:type="dcterms:W3CDTF">2026-06-11T04:27:51Z</dcterms:modified>
</cp:coreProperties>
</file>

<file path=docProps/custom.xml><?xml version="1.0" encoding="utf-8"?>
<Properties xmlns="http://schemas.openxmlformats.org/officeDocument/2006/custom-properties" xmlns:vt="http://schemas.openxmlformats.org/officeDocument/2006/docPropsVTypes"/>
</file>